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3369"/>
        <w:gridCol w:w="5917"/>
      </w:tblGrid>
      <w:tr w:rsidR="007E3B77" w14:paraId="7D14D61D" w14:textId="77777777" w:rsidTr="00DD1BFA">
        <w:trPr>
          <w:trHeight w:val="1757"/>
        </w:trPr>
        <w:tc>
          <w:tcPr>
            <w:tcW w:w="3369" w:type="dxa"/>
            <w:tcBorders>
              <w:left w:val="single" w:sz="48" w:space="0" w:color="BC9E6E"/>
            </w:tcBorders>
            <w:shd w:val="clear" w:color="auto" w:fill="auto"/>
            <w:vAlign w:val="center"/>
          </w:tcPr>
          <w:p w14:paraId="7385D288" w14:textId="77777777" w:rsidR="007E3B77" w:rsidRDefault="007E3B77" w:rsidP="00DD1BFA">
            <w:pPr>
              <w:tabs>
                <w:tab w:val="left" w:pos="4680"/>
                <w:tab w:val="left" w:pos="8100"/>
              </w:tabs>
              <w:spacing w:before="60"/>
              <w:ind w:right="142" w:firstLine="142"/>
              <w:rPr>
                <w:i/>
                <w:noProof/>
                <w:szCs w:val="22"/>
                <w:lang w:eastAsia="en-GB"/>
              </w:rPr>
            </w:pPr>
            <w:r>
              <w:rPr>
                <w:i/>
                <w:noProof/>
                <w:szCs w:val="22"/>
                <w:lang w:val="en-US" w:eastAsia="en-US"/>
              </w:rPr>
              <w:drawing>
                <wp:inline distT="0" distB="0" distL="0" distR="0" wp14:anchorId="742AD294" wp14:editId="29DD805D">
                  <wp:extent cx="1621155" cy="873125"/>
                  <wp:effectExtent l="0" t="0" r="0" b="0"/>
                  <wp:docPr id="3" name="Picture 1" descr="LOGO TE - small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 - small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shd w:val="clear" w:color="auto" w:fill="auto"/>
          </w:tcPr>
          <w:p w14:paraId="6FEAB3FF" w14:textId="77777777" w:rsidR="007E3B77" w:rsidRDefault="007E3B77" w:rsidP="00DD1BFA">
            <w:pPr>
              <w:pStyle w:val="Heading1"/>
              <w:jc w:val="right"/>
              <w:rPr>
                <w:b/>
                <w:i w:val="0"/>
                <w:noProof/>
                <w:sz w:val="32"/>
                <w:szCs w:val="22"/>
                <w:u w:val="none"/>
                <w:lang w:eastAsia="en-GB"/>
              </w:rPr>
            </w:pPr>
          </w:p>
          <w:p w14:paraId="1A0842F0" w14:textId="77777777" w:rsidR="007E3B77" w:rsidRDefault="007E3B77" w:rsidP="00DD1BFA">
            <w:pPr>
              <w:pStyle w:val="Heading1"/>
              <w:jc w:val="right"/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</w:pPr>
            <w:r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  <w:t xml:space="preserve">ΔΕΛΤΙΟ ΤΥΠΟΥ </w:t>
            </w:r>
          </w:p>
          <w:p w14:paraId="49FCAA0F" w14:textId="254D1466" w:rsidR="007E3B77" w:rsidRPr="0044335A" w:rsidRDefault="007E3B77" w:rsidP="00DD1BFA">
            <w:pPr>
              <w:pStyle w:val="Heading1"/>
              <w:ind w:firstLine="0"/>
              <w:jc w:val="right"/>
              <w:rPr>
                <w:i w:val="0"/>
                <w:noProof/>
                <w:szCs w:val="22"/>
                <w:u w:val="none"/>
                <w:lang w:val="en-US" w:eastAsia="en-GB"/>
              </w:rPr>
            </w:pPr>
            <w:r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Αθήνα, </w:t>
            </w:r>
            <w:r w:rsidR="00CE0083">
              <w:rPr>
                <w:i w:val="0"/>
                <w:noProof/>
                <w:color w:val="00205B"/>
                <w:szCs w:val="22"/>
                <w:u w:val="none"/>
                <w:lang w:val="en-US" w:eastAsia="en-GB"/>
              </w:rPr>
              <w:t xml:space="preserve">21 </w:t>
            </w:r>
            <w:r w:rsidR="00CE0083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Αυγούστου</w:t>
            </w:r>
            <w:r w:rsidR="00021FB2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 </w:t>
            </w:r>
            <w:r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202</w:t>
            </w:r>
            <w:r w:rsidR="0044335A">
              <w:rPr>
                <w:i w:val="0"/>
                <w:noProof/>
                <w:color w:val="00205B"/>
                <w:szCs w:val="22"/>
                <w:u w:val="none"/>
                <w:lang w:val="en-US" w:eastAsia="en-GB"/>
              </w:rPr>
              <w:t>5</w:t>
            </w:r>
          </w:p>
        </w:tc>
      </w:tr>
    </w:tbl>
    <w:p w14:paraId="2367207B" w14:textId="77777777" w:rsidR="007E3B77" w:rsidRDefault="007E3B77" w:rsidP="007E3B77">
      <w:pPr>
        <w:pStyle w:val="Heading1"/>
        <w:ind w:firstLine="0"/>
        <w:jc w:val="center"/>
        <w:rPr>
          <w:i w:val="0"/>
          <w:noProof/>
          <w:szCs w:val="22"/>
          <w:u w:val="none"/>
          <w:lang w:eastAsia="en-GB"/>
        </w:rPr>
      </w:pPr>
    </w:p>
    <w:p w14:paraId="4655D198" w14:textId="77777777" w:rsidR="007E3B77" w:rsidRDefault="007E3B77" w:rsidP="007E3B77">
      <w:pPr>
        <w:rPr>
          <w:lang w:val="el-GR" w:eastAsia="en-GB"/>
        </w:rPr>
      </w:pPr>
    </w:p>
    <w:p w14:paraId="655695EC" w14:textId="3FF9AEDD" w:rsidR="007E3B77" w:rsidRDefault="007E3B77" w:rsidP="007E3B77">
      <w:pPr>
        <w:pStyle w:val="Heading6"/>
        <w:tabs>
          <w:tab w:val="left" w:pos="4680"/>
          <w:tab w:val="left" w:pos="8100"/>
        </w:tabs>
        <w:spacing w:after="120" w:line="276" w:lineRule="auto"/>
        <w:ind w:left="0" w:right="-2"/>
        <w:rPr>
          <w:b/>
          <w:i w:val="0"/>
          <w:color w:val="00205B"/>
          <w:sz w:val="32"/>
          <w:szCs w:val="32"/>
        </w:rPr>
      </w:pPr>
      <w:r>
        <w:rPr>
          <w:b/>
          <w:i w:val="0"/>
          <w:color w:val="00205B"/>
          <w:sz w:val="32"/>
          <w:szCs w:val="32"/>
        </w:rPr>
        <w:t xml:space="preserve">Εξελίξεις στο ταξιδιωτικό ισοζύγιο πληρωμών – </w:t>
      </w:r>
      <w:r w:rsidR="00CE0083">
        <w:rPr>
          <w:b/>
          <w:i w:val="0"/>
          <w:color w:val="00205B"/>
          <w:sz w:val="32"/>
          <w:szCs w:val="32"/>
        </w:rPr>
        <w:t>Ιούνιο</w:t>
      </w:r>
      <w:r>
        <w:rPr>
          <w:b/>
          <w:i w:val="0"/>
          <w:color w:val="00205B"/>
          <w:sz w:val="32"/>
          <w:szCs w:val="32"/>
        </w:rPr>
        <w:t xml:space="preserve">ς </w:t>
      </w:r>
      <w:r w:rsidR="0044335A">
        <w:rPr>
          <w:b/>
          <w:i w:val="0"/>
          <w:color w:val="00205B"/>
          <w:sz w:val="32"/>
          <w:szCs w:val="32"/>
        </w:rPr>
        <w:t>2025</w:t>
      </w:r>
    </w:p>
    <w:p w14:paraId="45C2798B" w14:textId="77777777" w:rsidR="007E3B77" w:rsidRDefault="007E3B77" w:rsidP="007E3B77">
      <w:pPr>
        <w:jc w:val="both"/>
        <w:rPr>
          <w:lang w:val="el-GR"/>
        </w:rPr>
      </w:pPr>
    </w:p>
    <w:p w14:paraId="50BD982C" w14:textId="3F353C33" w:rsidR="007E3B77" w:rsidRDefault="007E3B77" w:rsidP="007E3B77">
      <w:pPr>
        <w:numPr>
          <w:ilvl w:val="0"/>
          <w:numId w:val="1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Το </w:t>
      </w:r>
      <w:r>
        <w:rPr>
          <w:b/>
          <w:sz w:val="22"/>
          <w:szCs w:val="22"/>
          <w:lang w:val="el-GR"/>
        </w:rPr>
        <w:t>ταξιδιωτικό ισοζύγιο</w:t>
      </w:r>
      <w:r>
        <w:rPr>
          <w:sz w:val="22"/>
          <w:szCs w:val="22"/>
          <w:lang w:val="el-GR"/>
        </w:rPr>
        <w:t xml:space="preserve"> παρουσίασε πλεόνασμα </w:t>
      </w:r>
      <w:r w:rsidR="0097268C">
        <w:rPr>
          <w:sz w:val="22"/>
          <w:szCs w:val="22"/>
          <w:lang w:val="el-GR"/>
        </w:rPr>
        <w:t>2.984,9</w:t>
      </w:r>
      <w:r>
        <w:rPr>
          <w:sz w:val="22"/>
          <w:szCs w:val="22"/>
          <w:lang w:val="el-GR"/>
        </w:rPr>
        <w:t xml:space="preserve"> εκατ. ευρώ </w:t>
      </w:r>
      <w:r w:rsidR="00F5553E">
        <w:rPr>
          <w:sz w:val="22"/>
          <w:szCs w:val="22"/>
          <w:lang w:val="el-GR"/>
        </w:rPr>
        <w:t>το</w:t>
      </w:r>
      <w:r w:rsidR="00F770E4">
        <w:rPr>
          <w:sz w:val="22"/>
          <w:szCs w:val="22"/>
          <w:lang w:val="el-GR"/>
        </w:rPr>
        <w:t>ν</w:t>
      </w:r>
      <w:r w:rsidR="00F5553E">
        <w:rPr>
          <w:sz w:val="22"/>
          <w:szCs w:val="22"/>
          <w:lang w:val="el-GR"/>
        </w:rPr>
        <w:t xml:space="preserve"> </w:t>
      </w:r>
      <w:r w:rsidR="00CE0083">
        <w:rPr>
          <w:sz w:val="22"/>
          <w:szCs w:val="22"/>
          <w:lang w:val="el-GR"/>
        </w:rPr>
        <w:t>Ιούνιο</w:t>
      </w:r>
      <w:r>
        <w:rPr>
          <w:sz w:val="22"/>
          <w:szCs w:val="22"/>
          <w:lang w:val="el-GR"/>
        </w:rPr>
        <w:t xml:space="preserve"> του </w:t>
      </w:r>
      <w:r w:rsidR="0044335A">
        <w:rPr>
          <w:sz w:val="22"/>
          <w:szCs w:val="22"/>
          <w:lang w:val="el-GR"/>
        </w:rPr>
        <w:t>2025</w:t>
      </w:r>
      <w:r w:rsidRPr="00FA0A31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και </w:t>
      </w:r>
      <w:r w:rsidR="0097268C">
        <w:rPr>
          <w:sz w:val="22"/>
          <w:szCs w:val="22"/>
          <w:lang w:val="el-GR"/>
        </w:rPr>
        <w:t>5.991,8</w:t>
      </w:r>
      <w:r>
        <w:rPr>
          <w:sz w:val="22"/>
          <w:szCs w:val="22"/>
          <w:lang w:val="el-GR"/>
        </w:rPr>
        <w:t xml:space="preserve"> εκατ. ευρώ την περίοδο </w:t>
      </w:r>
      <w:r w:rsidR="00DE5A38">
        <w:rPr>
          <w:sz w:val="22"/>
          <w:szCs w:val="22"/>
          <w:lang w:val="el-GR"/>
        </w:rPr>
        <w:t>Ιανουαρίου-</w:t>
      </w:r>
      <w:r w:rsidR="00CE0083">
        <w:rPr>
          <w:sz w:val="22"/>
          <w:szCs w:val="22"/>
          <w:lang w:val="el-GR"/>
        </w:rPr>
        <w:t>Ιουνίου</w:t>
      </w:r>
      <w:r w:rsidR="00DE5A38">
        <w:rPr>
          <w:sz w:val="22"/>
          <w:szCs w:val="22"/>
          <w:lang w:val="el-GR"/>
        </w:rPr>
        <w:t xml:space="preserve"> </w:t>
      </w:r>
      <w:r w:rsidR="0044335A">
        <w:rPr>
          <w:sz w:val="22"/>
          <w:szCs w:val="22"/>
          <w:lang w:val="el-GR"/>
        </w:rPr>
        <w:t>2025</w:t>
      </w:r>
      <w:r>
        <w:rPr>
          <w:sz w:val="22"/>
          <w:szCs w:val="22"/>
          <w:lang w:val="el-GR"/>
        </w:rPr>
        <w:t>.</w:t>
      </w:r>
    </w:p>
    <w:p w14:paraId="14839F30" w14:textId="1678D3D7" w:rsidR="007E3B77" w:rsidRDefault="007E3B77" w:rsidP="007E3B77">
      <w:pPr>
        <w:numPr>
          <w:ilvl w:val="0"/>
          <w:numId w:val="1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n-US"/>
        </w:rPr>
        <w:t>O</w:t>
      </w:r>
      <w:r>
        <w:rPr>
          <w:sz w:val="22"/>
          <w:szCs w:val="22"/>
          <w:lang w:val="el-GR"/>
        </w:rPr>
        <w:t xml:space="preserve">ι </w:t>
      </w:r>
      <w:r>
        <w:rPr>
          <w:b/>
          <w:sz w:val="22"/>
          <w:szCs w:val="22"/>
          <w:lang w:val="el-GR"/>
        </w:rPr>
        <w:t>ταξιδιωτικές εισπράξεις</w:t>
      </w:r>
      <w:r>
        <w:rPr>
          <w:sz w:val="22"/>
          <w:szCs w:val="22"/>
          <w:lang w:val="el-GR"/>
        </w:rPr>
        <w:t xml:space="preserve"> αυξήθηκαν κατά </w:t>
      </w:r>
      <w:r w:rsidR="0097268C">
        <w:rPr>
          <w:sz w:val="22"/>
          <w:szCs w:val="22"/>
          <w:lang w:val="el-GR"/>
        </w:rPr>
        <w:t>8,8</w:t>
      </w:r>
      <w:r>
        <w:rPr>
          <w:sz w:val="22"/>
          <w:szCs w:val="22"/>
          <w:lang w:val="el-GR"/>
        </w:rPr>
        <w:t xml:space="preserve">% </w:t>
      </w:r>
      <w:r w:rsidR="00F5553E">
        <w:rPr>
          <w:sz w:val="22"/>
          <w:szCs w:val="22"/>
          <w:lang w:val="el-GR"/>
        </w:rPr>
        <w:t>το</w:t>
      </w:r>
      <w:r w:rsidR="00F770E4">
        <w:rPr>
          <w:sz w:val="22"/>
          <w:szCs w:val="22"/>
          <w:lang w:val="el-GR"/>
        </w:rPr>
        <w:t>ν</w:t>
      </w:r>
      <w:r w:rsidR="00F5553E">
        <w:rPr>
          <w:sz w:val="22"/>
          <w:szCs w:val="22"/>
          <w:lang w:val="el-GR"/>
        </w:rPr>
        <w:t xml:space="preserve"> </w:t>
      </w:r>
      <w:r w:rsidR="00CE0083">
        <w:rPr>
          <w:sz w:val="22"/>
          <w:szCs w:val="22"/>
          <w:lang w:val="el-GR"/>
        </w:rPr>
        <w:t>Ιούνιο</w:t>
      </w:r>
      <w:r>
        <w:rPr>
          <w:sz w:val="22"/>
          <w:szCs w:val="22"/>
          <w:lang w:val="el-GR"/>
        </w:rPr>
        <w:t xml:space="preserve"> του </w:t>
      </w:r>
      <w:r w:rsidR="0044335A">
        <w:rPr>
          <w:sz w:val="22"/>
          <w:szCs w:val="22"/>
          <w:lang w:val="el-GR"/>
        </w:rPr>
        <w:t>2025</w:t>
      </w:r>
      <w:r w:rsidRPr="00FA0A31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και κατά </w:t>
      </w:r>
      <w:r w:rsidR="0097268C">
        <w:rPr>
          <w:sz w:val="22"/>
          <w:szCs w:val="22"/>
          <w:lang w:val="el-GR"/>
        </w:rPr>
        <w:t>11,0</w:t>
      </w:r>
      <w:r>
        <w:rPr>
          <w:sz w:val="22"/>
          <w:szCs w:val="22"/>
          <w:lang w:val="el-GR"/>
        </w:rPr>
        <w:t xml:space="preserve">% την περίοδο </w:t>
      </w:r>
      <w:r w:rsidR="00DE5A38">
        <w:rPr>
          <w:sz w:val="22"/>
          <w:szCs w:val="22"/>
          <w:lang w:val="el-GR"/>
        </w:rPr>
        <w:t>Ιανουαρίου-</w:t>
      </w:r>
      <w:r w:rsidR="00CE0083">
        <w:rPr>
          <w:sz w:val="22"/>
          <w:szCs w:val="22"/>
          <w:lang w:val="el-GR"/>
        </w:rPr>
        <w:t>Ιουνίου</w:t>
      </w:r>
      <w:r w:rsidR="00F5553E">
        <w:rPr>
          <w:sz w:val="22"/>
          <w:szCs w:val="22"/>
          <w:lang w:val="el-GR"/>
        </w:rPr>
        <w:t xml:space="preserve"> 2025</w:t>
      </w:r>
      <w:r>
        <w:rPr>
          <w:sz w:val="22"/>
          <w:szCs w:val="22"/>
          <w:lang w:val="el-GR"/>
        </w:rPr>
        <w:t xml:space="preserve">. </w:t>
      </w:r>
    </w:p>
    <w:p w14:paraId="187EA7B1" w14:textId="30D00F0A" w:rsidR="007E3B77" w:rsidRDefault="007E3B77" w:rsidP="007E3B77">
      <w:pPr>
        <w:numPr>
          <w:ilvl w:val="0"/>
          <w:numId w:val="1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Η</w:t>
      </w:r>
      <w:r>
        <w:rPr>
          <w:b/>
          <w:sz w:val="22"/>
          <w:szCs w:val="22"/>
          <w:lang w:val="el-GR"/>
        </w:rPr>
        <w:t xml:space="preserve"> εισερχόμενη ταξιδιωτική κίνηση</w:t>
      </w:r>
      <w:r>
        <w:rPr>
          <w:sz w:val="22"/>
          <w:szCs w:val="22"/>
          <w:lang w:val="el-GR"/>
        </w:rPr>
        <w:t xml:space="preserve"> </w:t>
      </w:r>
      <w:r w:rsidR="00AD5B51">
        <w:rPr>
          <w:sz w:val="22"/>
          <w:szCs w:val="22"/>
          <w:lang w:val="el-GR"/>
        </w:rPr>
        <w:t>μειώθηκε</w:t>
      </w:r>
      <w:r>
        <w:rPr>
          <w:sz w:val="22"/>
          <w:szCs w:val="22"/>
          <w:lang w:val="el-GR"/>
        </w:rPr>
        <w:t xml:space="preserve"> κατά </w:t>
      </w:r>
      <w:r w:rsidR="0097268C">
        <w:rPr>
          <w:sz w:val="22"/>
          <w:szCs w:val="22"/>
          <w:lang w:val="el-GR"/>
        </w:rPr>
        <w:t>1</w:t>
      </w:r>
      <w:r w:rsidR="00AD5B51">
        <w:rPr>
          <w:sz w:val="22"/>
          <w:szCs w:val="22"/>
          <w:lang w:val="el-GR"/>
        </w:rPr>
        <w:t>,7</w:t>
      </w:r>
      <w:r>
        <w:rPr>
          <w:sz w:val="22"/>
          <w:szCs w:val="22"/>
          <w:lang w:val="el-GR"/>
        </w:rPr>
        <w:t xml:space="preserve">% </w:t>
      </w:r>
      <w:r w:rsidR="00F5553E">
        <w:rPr>
          <w:sz w:val="22"/>
          <w:szCs w:val="22"/>
          <w:lang w:val="el-GR"/>
        </w:rPr>
        <w:t>το</w:t>
      </w:r>
      <w:r w:rsidR="00F770E4">
        <w:rPr>
          <w:sz w:val="22"/>
          <w:szCs w:val="22"/>
          <w:lang w:val="el-GR"/>
        </w:rPr>
        <w:t>ν</w:t>
      </w:r>
      <w:r w:rsidR="00F5553E">
        <w:rPr>
          <w:sz w:val="22"/>
          <w:szCs w:val="22"/>
          <w:lang w:val="el-GR"/>
        </w:rPr>
        <w:t xml:space="preserve"> </w:t>
      </w:r>
      <w:r w:rsidR="00CE0083">
        <w:rPr>
          <w:sz w:val="22"/>
          <w:szCs w:val="22"/>
          <w:lang w:val="el-GR"/>
        </w:rPr>
        <w:t>Ιούνιο</w:t>
      </w:r>
      <w:r w:rsidR="00B47AC0">
        <w:rPr>
          <w:sz w:val="22"/>
          <w:szCs w:val="22"/>
          <w:lang w:val="el-GR"/>
        </w:rPr>
        <w:t xml:space="preserve"> του 2025</w:t>
      </w:r>
      <w:r w:rsidR="000F4BAE">
        <w:rPr>
          <w:sz w:val="22"/>
          <w:szCs w:val="22"/>
          <w:lang w:val="el-GR"/>
        </w:rPr>
        <w:t>,</w:t>
      </w:r>
      <w:r w:rsidR="00B47AC0">
        <w:rPr>
          <w:sz w:val="22"/>
          <w:szCs w:val="22"/>
          <w:lang w:val="el-GR"/>
        </w:rPr>
        <w:t xml:space="preserve"> </w:t>
      </w:r>
      <w:r w:rsidR="00AD5B51">
        <w:rPr>
          <w:sz w:val="22"/>
          <w:szCs w:val="22"/>
          <w:lang w:val="el-GR"/>
        </w:rPr>
        <w:t>ενώ παρουσίασε αύξηση</w:t>
      </w:r>
      <w:r w:rsidR="00DC7C79">
        <w:rPr>
          <w:sz w:val="22"/>
          <w:szCs w:val="22"/>
          <w:lang w:val="el-GR"/>
        </w:rPr>
        <w:t xml:space="preserve"> </w:t>
      </w:r>
      <w:r w:rsidR="00B47AC0">
        <w:rPr>
          <w:sz w:val="22"/>
          <w:szCs w:val="22"/>
          <w:lang w:val="el-GR"/>
        </w:rPr>
        <w:t>κατά</w:t>
      </w:r>
      <w:r w:rsidR="00021FB2">
        <w:rPr>
          <w:sz w:val="22"/>
          <w:szCs w:val="22"/>
          <w:lang w:val="el-GR"/>
        </w:rPr>
        <w:t xml:space="preserve"> </w:t>
      </w:r>
      <w:r w:rsidR="0097268C">
        <w:rPr>
          <w:sz w:val="22"/>
          <w:szCs w:val="22"/>
          <w:lang w:val="el-GR"/>
        </w:rPr>
        <w:t>0,6</w:t>
      </w:r>
      <w:r w:rsidR="00021FB2">
        <w:rPr>
          <w:sz w:val="22"/>
          <w:szCs w:val="22"/>
          <w:lang w:val="el-GR"/>
        </w:rPr>
        <w:t>%</w:t>
      </w:r>
      <w:r w:rsidR="00B47AC0">
        <w:rPr>
          <w:sz w:val="22"/>
          <w:szCs w:val="22"/>
          <w:lang w:val="el-GR"/>
        </w:rPr>
        <w:t xml:space="preserve"> </w:t>
      </w:r>
      <w:r w:rsidR="00DC7C79">
        <w:rPr>
          <w:sz w:val="22"/>
          <w:szCs w:val="22"/>
          <w:lang w:val="el-GR"/>
        </w:rPr>
        <w:t xml:space="preserve">την περίοδο </w:t>
      </w:r>
      <w:r w:rsidR="00DE5A38">
        <w:rPr>
          <w:sz w:val="22"/>
          <w:szCs w:val="22"/>
          <w:lang w:val="el-GR"/>
        </w:rPr>
        <w:t>Ιανουαρίου-</w:t>
      </w:r>
      <w:r w:rsidR="00CE0083">
        <w:rPr>
          <w:sz w:val="22"/>
          <w:szCs w:val="22"/>
          <w:lang w:val="el-GR"/>
        </w:rPr>
        <w:t>Ιουνίου</w:t>
      </w:r>
      <w:r w:rsidR="00DE5A38">
        <w:rPr>
          <w:sz w:val="22"/>
          <w:szCs w:val="22"/>
          <w:lang w:val="el-GR"/>
        </w:rPr>
        <w:t xml:space="preserve"> </w:t>
      </w:r>
      <w:r w:rsidR="00DC7C79">
        <w:rPr>
          <w:sz w:val="22"/>
          <w:szCs w:val="22"/>
          <w:lang w:val="el-GR"/>
        </w:rPr>
        <w:t>2025</w:t>
      </w:r>
      <w:r>
        <w:rPr>
          <w:sz w:val="22"/>
          <w:szCs w:val="22"/>
          <w:lang w:val="el-GR"/>
        </w:rPr>
        <w:t>.</w:t>
      </w:r>
    </w:p>
    <w:p w14:paraId="4DF3EE11" w14:textId="25FCF165" w:rsidR="007E3B77" w:rsidRDefault="007E3B77" w:rsidP="007E3B77">
      <w:pPr>
        <w:spacing w:before="120" w:line="360" w:lineRule="auto"/>
        <w:rPr>
          <w:b/>
          <w:sz w:val="22"/>
          <w:szCs w:val="22"/>
          <w:lang w:val="el-GR"/>
        </w:rPr>
      </w:pPr>
    </w:p>
    <w:p w14:paraId="2200E7EE" w14:textId="77777777" w:rsidR="007E3B77" w:rsidRDefault="007E3B77" w:rsidP="007E3B77">
      <w:pPr>
        <w:spacing w:before="120" w:line="360" w:lineRule="auto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Ταξιδιωτικό ισοζύγιο</w:t>
      </w:r>
    </w:p>
    <w:p w14:paraId="17CE6291" w14:textId="0B9DDD05" w:rsidR="007E3B77" w:rsidRPr="000873B0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Σύμφωνα με προσωρινά στοιχεία, το ταξιδιωτικό ισοζύγιο </w:t>
      </w:r>
      <w:r w:rsidR="00F5553E">
        <w:rPr>
          <w:rFonts w:ascii="Arial" w:hAnsi="Arial" w:cs="Arial"/>
          <w:sz w:val="22"/>
          <w:szCs w:val="22"/>
        </w:rPr>
        <w:t>το</w:t>
      </w:r>
      <w:r w:rsidR="00F34BF7">
        <w:rPr>
          <w:rFonts w:ascii="Arial" w:hAnsi="Arial" w:cs="Arial"/>
          <w:sz w:val="22"/>
          <w:szCs w:val="22"/>
        </w:rPr>
        <w:t>ν</w:t>
      </w:r>
      <w:r w:rsidR="00F5553E">
        <w:rPr>
          <w:rFonts w:ascii="Arial" w:hAnsi="Arial" w:cs="Arial"/>
          <w:sz w:val="22"/>
          <w:szCs w:val="22"/>
        </w:rPr>
        <w:t xml:space="preserve"> </w:t>
      </w:r>
      <w:r w:rsidR="00CE0083">
        <w:rPr>
          <w:rFonts w:ascii="Arial" w:hAnsi="Arial" w:cs="Arial"/>
          <w:sz w:val="22"/>
          <w:szCs w:val="22"/>
          <w:u w:val="single"/>
        </w:rPr>
        <w:t>Ιούνιο</w:t>
      </w:r>
      <w:r w:rsidRPr="00F5553E">
        <w:rPr>
          <w:rFonts w:ascii="Arial" w:hAnsi="Arial" w:cs="Arial"/>
          <w:sz w:val="22"/>
          <w:szCs w:val="22"/>
          <w:u w:val="single"/>
        </w:rPr>
        <w:t xml:space="preserve"> του </w:t>
      </w:r>
      <w:r w:rsidR="0044335A" w:rsidRPr="00F5553E">
        <w:rPr>
          <w:rFonts w:ascii="Arial" w:hAnsi="Arial" w:cs="Arial"/>
          <w:sz w:val="22"/>
          <w:szCs w:val="22"/>
          <w:u w:val="single"/>
        </w:rPr>
        <w:t>2025</w:t>
      </w:r>
      <w:r>
        <w:rPr>
          <w:rFonts w:ascii="Arial" w:hAnsi="Arial" w:cs="Arial"/>
          <w:sz w:val="22"/>
          <w:szCs w:val="22"/>
        </w:rPr>
        <w:t xml:space="preserve"> εμφάνισε πλεόνασμα </w:t>
      </w:r>
      <w:r w:rsidR="0097268C" w:rsidRPr="0097268C">
        <w:rPr>
          <w:rFonts w:ascii="Arial" w:hAnsi="Arial" w:cs="Arial"/>
          <w:sz w:val="22"/>
          <w:szCs w:val="22"/>
        </w:rPr>
        <w:t xml:space="preserve">2.984,9 </w:t>
      </w:r>
      <w:r>
        <w:rPr>
          <w:rFonts w:ascii="Arial" w:hAnsi="Arial" w:cs="Arial"/>
          <w:sz w:val="22"/>
          <w:szCs w:val="22"/>
        </w:rPr>
        <w:t xml:space="preserve">εκατ. ευρώ, έναντι πλεονάσματος </w:t>
      </w:r>
      <w:r w:rsidR="0097268C" w:rsidRPr="0097268C">
        <w:rPr>
          <w:rFonts w:ascii="Arial" w:hAnsi="Arial" w:cs="Arial"/>
          <w:sz w:val="22"/>
          <w:szCs w:val="22"/>
        </w:rPr>
        <w:t>2.</w:t>
      </w:r>
      <w:r w:rsidR="0097268C">
        <w:rPr>
          <w:rFonts w:ascii="Arial" w:hAnsi="Arial" w:cs="Arial"/>
          <w:sz w:val="22"/>
          <w:szCs w:val="22"/>
        </w:rPr>
        <w:t>793,4</w:t>
      </w:r>
      <w:r w:rsidR="0097268C" w:rsidRPr="009726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εκατ. ευρώ τον αντίστοιχο μήνα του </w:t>
      </w:r>
      <w:r w:rsidR="0044335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. Ειδικότερα, αύξηση κατά </w:t>
      </w:r>
      <w:r w:rsidR="0097268C">
        <w:rPr>
          <w:rFonts w:ascii="Arial" w:hAnsi="Arial" w:cs="Arial"/>
          <w:sz w:val="22"/>
          <w:szCs w:val="22"/>
        </w:rPr>
        <w:t>8,8</w:t>
      </w:r>
      <w:r>
        <w:rPr>
          <w:rFonts w:ascii="Arial" w:hAnsi="Arial" w:cs="Arial"/>
          <w:sz w:val="22"/>
          <w:szCs w:val="22"/>
        </w:rPr>
        <w:t xml:space="preserve">% κατέγραψαν </w:t>
      </w:r>
      <w:r w:rsidR="00F5553E">
        <w:rPr>
          <w:rFonts w:ascii="Arial" w:hAnsi="Arial" w:cs="Arial"/>
          <w:sz w:val="22"/>
          <w:szCs w:val="22"/>
        </w:rPr>
        <w:t>το</w:t>
      </w:r>
      <w:r w:rsidR="00F34BF7">
        <w:rPr>
          <w:rFonts w:ascii="Arial" w:hAnsi="Arial" w:cs="Arial"/>
          <w:sz w:val="22"/>
          <w:szCs w:val="22"/>
        </w:rPr>
        <w:t>ν</w:t>
      </w:r>
      <w:r w:rsidR="00F5553E">
        <w:rPr>
          <w:rFonts w:ascii="Arial" w:hAnsi="Arial" w:cs="Arial"/>
          <w:sz w:val="22"/>
          <w:szCs w:val="22"/>
        </w:rPr>
        <w:t xml:space="preserve"> </w:t>
      </w:r>
      <w:r w:rsidR="00CE0083">
        <w:rPr>
          <w:rFonts w:ascii="Arial" w:hAnsi="Arial" w:cs="Arial"/>
          <w:sz w:val="22"/>
          <w:szCs w:val="22"/>
        </w:rPr>
        <w:t>Ιούνιο</w:t>
      </w:r>
      <w:r>
        <w:rPr>
          <w:rFonts w:ascii="Arial" w:hAnsi="Arial" w:cs="Arial"/>
          <w:sz w:val="22"/>
          <w:szCs w:val="22"/>
        </w:rPr>
        <w:t xml:space="preserve"> του </w:t>
      </w:r>
      <w:r w:rsidR="0044335A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οι ταξιδιωτικές εισπράξεις, οι οποίες διαμορφώθηκαν στα </w:t>
      </w:r>
      <w:r w:rsidR="0097268C">
        <w:rPr>
          <w:rFonts w:ascii="Arial" w:hAnsi="Arial" w:cs="Arial"/>
          <w:sz w:val="22"/>
          <w:szCs w:val="22"/>
        </w:rPr>
        <w:t>3.306,7</w:t>
      </w:r>
      <w:r>
        <w:rPr>
          <w:rFonts w:ascii="Arial" w:hAnsi="Arial" w:cs="Arial"/>
          <w:sz w:val="22"/>
          <w:szCs w:val="22"/>
        </w:rPr>
        <w:t xml:space="preserve"> εκατ. ευρώ, έναντι </w:t>
      </w:r>
      <w:r w:rsidR="0097268C">
        <w:rPr>
          <w:rFonts w:ascii="Arial" w:hAnsi="Arial" w:cs="Arial"/>
          <w:sz w:val="22"/>
          <w:szCs w:val="22"/>
        </w:rPr>
        <w:t>3.038,3</w:t>
      </w:r>
      <w:r>
        <w:rPr>
          <w:rFonts w:ascii="Arial" w:hAnsi="Arial" w:cs="Arial"/>
          <w:sz w:val="22"/>
          <w:szCs w:val="22"/>
        </w:rPr>
        <w:t xml:space="preserve"> εκατ. ευρώ τον αντίστοιχο μήνα του </w:t>
      </w:r>
      <w:r w:rsidR="0044335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, ενώ </w:t>
      </w:r>
      <w:r w:rsidR="001925E8">
        <w:rPr>
          <w:rFonts w:ascii="Arial" w:hAnsi="Arial" w:cs="Arial"/>
          <w:sz w:val="22"/>
          <w:szCs w:val="22"/>
        </w:rPr>
        <w:t>αύξηση</w:t>
      </w:r>
      <w:r w:rsidR="00EA55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97268C">
        <w:rPr>
          <w:rFonts w:ascii="Arial" w:hAnsi="Arial" w:cs="Arial"/>
          <w:sz w:val="22"/>
          <w:szCs w:val="22"/>
        </w:rPr>
        <w:t>31,4</w:t>
      </w:r>
      <w:r>
        <w:rPr>
          <w:rFonts w:ascii="Arial" w:hAnsi="Arial" w:cs="Arial"/>
          <w:sz w:val="22"/>
          <w:szCs w:val="22"/>
        </w:rPr>
        <w:t xml:space="preserve">% παρατηρήθηκε και στις ταξιδιωτικές πληρωμές </w:t>
      </w:r>
      <w:bookmarkStart w:id="0" w:name="OLE_LINK1"/>
      <w:bookmarkStart w:id="1" w:name="OLE_LINK2"/>
      <w:r>
        <w:rPr>
          <w:rFonts w:ascii="Arial" w:hAnsi="Arial" w:cs="Arial"/>
          <w:sz w:val="22"/>
          <w:szCs w:val="22"/>
        </w:rPr>
        <w:t>(</w:t>
      </w:r>
      <w:r w:rsidR="00CE0083">
        <w:rPr>
          <w:rFonts w:ascii="Arial" w:hAnsi="Arial" w:cs="Arial"/>
          <w:sz w:val="22"/>
          <w:szCs w:val="22"/>
        </w:rPr>
        <w:t>Ιούνιο</w:t>
      </w:r>
      <w:r>
        <w:rPr>
          <w:rFonts w:ascii="Arial" w:hAnsi="Arial" w:cs="Arial"/>
          <w:sz w:val="22"/>
          <w:szCs w:val="22"/>
        </w:rPr>
        <w:t xml:space="preserve">ς </w:t>
      </w:r>
      <w:r w:rsidR="0044335A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: </w:t>
      </w:r>
      <w:r w:rsidR="0097268C">
        <w:rPr>
          <w:rFonts w:ascii="Arial" w:hAnsi="Arial" w:cs="Arial"/>
          <w:sz w:val="22"/>
          <w:szCs w:val="22"/>
        </w:rPr>
        <w:t>321,8</w:t>
      </w:r>
      <w:r>
        <w:rPr>
          <w:rFonts w:ascii="Arial" w:hAnsi="Arial" w:cs="Arial"/>
          <w:sz w:val="22"/>
          <w:szCs w:val="22"/>
        </w:rPr>
        <w:t xml:space="preserve"> εκατ. ευρώ, </w:t>
      </w:r>
      <w:r w:rsidR="00CE0083">
        <w:rPr>
          <w:rFonts w:ascii="Arial" w:hAnsi="Arial" w:cs="Arial"/>
          <w:sz w:val="22"/>
          <w:szCs w:val="22"/>
        </w:rPr>
        <w:t>Ιούνιο</w:t>
      </w:r>
      <w:r>
        <w:rPr>
          <w:rFonts w:ascii="Arial" w:hAnsi="Arial" w:cs="Arial"/>
          <w:sz w:val="22"/>
          <w:szCs w:val="22"/>
        </w:rPr>
        <w:t xml:space="preserve">ς </w:t>
      </w:r>
      <w:r w:rsidR="0044335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: </w:t>
      </w:r>
      <w:r w:rsidR="0097268C">
        <w:rPr>
          <w:rFonts w:ascii="Arial" w:hAnsi="Arial" w:cs="Arial"/>
          <w:sz w:val="22"/>
          <w:szCs w:val="22"/>
        </w:rPr>
        <w:t>244,8</w:t>
      </w:r>
      <w:r>
        <w:rPr>
          <w:rFonts w:ascii="Arial" w:hAnsi="Arial" w:cs="Arial"/>
          <w:sz w:val="22"/>
          <w:szCs w:val="22"/>
        </w:rPr>
        <w:t xml:space="preserve"> εκατ. ευρώ)</w:t>
      </w:r>
      <w:bookmarkEnd w:id="0"/>
      <w:bookmarkEnd w:id="1"/>
      <w:r>
        <w:rPr>
          <w:rFonts w:ascii="Arial" w:hAnsi="Arial" w:cs="Arial"/>
          <w:sz w:val="22"/>
          <w:szCs w:val="22"/>
        </w:rPr>
        <w:t xml:space="preserve">. Η </w:t>
      </w:r>
      <w:r w:rsidR="001925E8">
        <w:rPr>
          <w:rFonts w:ascii="Arial" w:hAnsi="Arial" w:cs="Arial"/>
          <w:sz w:val="22"/>
          <w:szCs w:val="22"/>
        </w:rPr>
        <w:t>άνοδος</w:t>
      </w:r>
      <w:r w:rsidR="00EA55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των ταξιδιωτικών εισπράξεων </w:t>
      </w:r>
      <w:r w:rsidRPr="00890565">
        <w:rPr>
          <w:rFonts w:ascii="Arial" w:hAnsi="Arial" w:cs="Arial"/>
          <w:sz w:val="22"/>
          <w:szCs w:val="22"/>
        </w:rPr>
        <w:t xml:space="preserve">οφείλεται </w:t>
      </w:r>
      <w:r w:rsidR="00AD5B51">
        <w:rPr>
          <w:rFonts w:ascii="Arial" w:hAnsi="Arial" w:cs="Arial"/>
          <w:sz w:val="22"/>
          <w:szCs w:val="22"/>
        </w:rPr>
        <w:t xml:space="preserve">κυρίως </w:t>
      </w:r>
      <w:r>
        <w:rPr>
          <w:rFonts w:ascii="Arial" w:hAnsi="Arial" w:cs="Arial"/>
          <w:sz w:val="22"/>
          <w:szCs w:val="22"/>
        </w:rPr>
        <w:t xml:space="preserve">στην </w:t>
      </w:r>
      <w:r w:rsidR="001925E8">
        <w:rPr>
          <w:rFonts w:ascii="Arial" w:hAnsi="Arial" w:cs="Arial"/>
          <w:sz w:val="22"/>
          <w:szCs w:val="22"/>
        </w:rPr>
        <w:t>ενίσχυση</w:t>
      </w:r>
      <w:r>
        <w:rPr>
          <w:rFonts w:ascii="Arial" w:hAnsi="Arial" w:cs="Arial"/>
          <w:sz w:val="22"/>
          <w:szCs w:val="22"/>
        </w:rPr>
        <w:t xml:space="preserve"> </w:t>
      </w:r>
      <w:r w:rsidR="00AD5B51">
        <w:rPr>
          <w:rFonts w:ascii="Arial" w:hAnsi="Arial" w:cs="Arial"/>
          <w:sz w:val="22"/>
          <w:szCs w:val="22"/>
        </w:rPr>
        <w:t xml:space="preserve">της </w:t>
      </w:r>
      <w:r w:rsidR="00AD5B51" w:rsidRPr="00E91E18">
        <w:rPr>
          <w:rFonts w:ascii="Arial" w:hAnsi="Arial" w:cs="Arial"/>
          <w:sz w:val="22"/>
          <w:szCs w:val="22"/>
        </w:rPr>
        <w:t>μέση</w:t>
      </w:r>
      <w:r w:rsidR="00AD5B51">
        <w:rPr>
          <w:rFonts w:ascii="Arial" w:hAnsi="Arial" w:cs="Arial"/>
          <w:sz w:val="22"/>
          <w:szCs w:val="22"/>
        </w:rPr>
        <w:t>ς</w:t>
      </w:r>
      <w:r w:rsidR="00AD5B51" w:rsidRPr="00E91E18">
        <w:rPr>
          <w:rFonts w:ascii="Arial" w:hAnsi="Arial" w:cs="Arial"/>
          <w:sz w:val="22"/>
          <w:szCs w:val="22"/>
        </w:rPr>
        <w:t xml:space="preserve"> δαπάνη</w:t>
      </w:r>
      <w:r w:rsidR="00AD5B51">
        <w:rPr>
          <w:rFonts w:ascii="Arial" w:hAnsi="Arial" w:cs="Arial"/>
          <w:sz w:val="22"/>
          <w:szCs w:val="22"/>
        </w:rPr>
        <w:t>ς</w:t>
      </w:r>
      <w:r w:rsidR="00AD5B51" w:rsidRPr="00E91E18">
        <w:rPr>
          <w:rFonts w:ascii="Arial" w:hAnsi="Arial" w:cs="Arial"/>
          <w:sz w:val="22"/>
          <w:szCs w:val="22"/>
        </w:rPr>
        <w:t xml:space="preserve"> ανά ταξίδι κατά </w:t>
      </w:r>
      <w:r w:rsidR="0097268C">
        <w:rPr>
          <w:rFonts w:ascii="Arial" w:hAnsi="Arial" w:cs="Arial"/>
          <w:sz w:val="22"/>
          <w:szCs w:val="22"/>
        </w:rPr>
        <w:t>10,2</w:t>
      </w:r>
      <w:r w:rsidR="00AD5B51">
        <w:rPr>
          <w:rFonts w:ascii="Arial" w:hAnsi="Arial" w:cs="Arial"/>
          <w:sz w:val="22"/>
          <w:szCs w:val="22"/>
        </w:rPr>
        <w:t xml:space="preserve">%, καθώς η </w:t>
      </w:r>
      <w:r w:rsidR="008C311B">
        <w:rPr>
          <w:rFonts w:ascii="Arial" w:hAnsi="Arial" w:cs="Arial"/>
          <w:sz w:val="22"/>
          <w:szCs w:val="22"/>
        </w:rPr>
        <w:t>εισερχόμενη ταξιδιωτική κίνηση</w:t>
      </w:r>
      <w:r w:rsidR="00AD5B51">
        <w:rPr>
          <w:rFonts w:ascii="Arial" w:hAnsi="Arial" w:cs="Arial"/>
          <w:sz w:val="22"/>
          <w:szCs w:val="22"/>
        </w:rPr>
        <w:t xml:space="preserve"> μειώθηκε</w:t>
      </w:r>
      <w:r w:rsidR="008C311B" w:rsidRPr="00E91E18">
        <w:rPr>
          <w:rFonts w:ascii="Arial" w:hAnsi="Arial" w:cs="Arial"/>
          <w:sz w:val="22"/>
          <w:szCs w:val="22"/>
        </w:rPr>
        <w:t xml:space="preserve"> </w:t>
      </w:r>
      <w:r w:rsidR="0032784F">
        <w:rPr>
          <w:rFonts w:ascii="Arial" w:hAnsi="Arial" w:cs="Arial"/>
          <w:sz w:val="22"/>
          <w:szCs w:val="22"/>
        </w:rPr>
        <w:t xml:space="preserve">κατά </w:t>
      </w:r>
      <w:r w:rsidR="0097268C">
        <w:rPr>
          <w:rFonts w:ascii="Arial" w:hAnsi="Arial" w:cs="Arial"/>
          <w:sz w:val="22"/>
          <w:szCs w:val="22"/>
        </w:rPr>
        <w:t>1</w:t>
      </w:r>
      <w:r w:rsidR="00AD5B51">
        <w:rPr>
          <w:rFonts w:ascii="Arial" w:hAnsi="Arial" w:cs="Arial"/>
          <w:sz w:val="22"/>
          <w:szCs w:val="22"/>
        </w:rPr>
        <w:t>,7</w:t>
      </w:r>
      <w:r w:rsidR="0032784F" w:rsidRPr="00E91E18">
        <w:rPr>
          <w:rFonts w:ascii="Arial" w:hAnsi="Arial" w:cs="Arial"/>
          <w:sz w:val="22"/>
          <w:szCs w:val="22"/>
        </w:rPr>
        <w:t>%</w:t>
      </w:r>
      <w:r w:rsidR="00AD5B51">
        <w:rPr>
          <w:rFonts w:ascii="Arial" w:hAnsi="Arial" w:cs="Arial"/>
          <w:sz w:val="22"/>
          <w:szCs w:val="22"/>
        </w:rPr>
        <w:t xml:space="preserve">. </w:t>
      </w:r>
      <w:r w:rsidRPr="006967AC">
        <w:rPr>
          <w:rFonts w:ascii="Arial" w:hAnsi="Arial" w:cs="Arial"/>
          <w:sz w:val="22"/>
          <w:szCs w:val="22"/>
        </w:rPr>
        <w:t xml:space="preserve">Οι καθαρές εισπράξεις από την παροχή ταξιδιωτικών </w:t>
      </w:r>
      <w:r w:rsidRPr="000873B0">
        <w:rPr>
          <w:rFonts w:ascii="Arial" w:hAnsi="Arial" w:cs="Arial"/>
          <w:sz w:val="22"/>
          <w:szCs w:val="22"/>
        </w:rPr>
        <w:t xml:space="preserve">υπηρεσιών αντιστάθμισαν </w:t>
      </w:r>
      <w:r w:rsidRPr="00261AB5">
        <w:rPr>
          <w:rFonts w:ascii="Arial" w:hAnsi="Arial" w:cs="Arial"/>
          <w:sz w:val="22"/>
          <w:szCs w:val="22"/>
        </w:rPr>
        <w:t xml:space="preserve">κατά </w:t>
      </w:r>
      <w:r w:rsidR="009062AE" w:rsidRPr="009062AE">
        <w:rPr>
          <w:rFonts w:ascii="Arial" w:hAnsi="Arial" w:cs="Arial"/>
          <w:sz w:val="22"/>
          <w:szCs w:val="22"/>
        </w:rPr>
        <w:t>94</w:t>
      </w:r>
      <w:r w:rsidR="00F24C28" w:rsidRPr="009062AE">
        <w:rPr>
          <w:rFonts w:ascii="Arial" w:hAnsi="Arial" w:cs="Arial"/>
          <w:sz w:val="22"/>
          <w:szCs w:val="22"/>
        </w:rPr>
        <w:t>,4</w:t>
      </w:r>
      <w:r w:rsidRPr="009062AE">
        <w:rPr>
          <w:rFonts w:ascii="Arial" w:hAnsi="Arial" w:cs="Arial"/>
          <w:sz w:val="22"/>
          <w:szCs w:val="22"/>
        </w:rPr>
        <w:t>%</w:t>
      </w:r>
      <w:r w:rsidRPr="000873B0">
        <w:rPr>
          <w:sz w:val="22"/>
          <w:szCs w:val="22"/>
        </w:rPr>
        <w:t xml:space="preserve"> </w:t>
      </w:r>
      <w:r w:rsidRPr="000873B0">
        <w:rPr>
          <w:rFonts w:ascii="Arial" w:hAnsi="Arial" w:cs="Arial"/>
          <w:sz w:val="22"/>
          <w:szCs w:val="22"/>
        </w:rPr>
        <w:t xml:space="preserve">το έλλειμμα του ισοζυγίου αγαθών και συνέβαλαν κατά </w:t>
      </w:r>
      <w:r w:rsidR="009062AE" w:rsidRPr="009062AE">
        <w:rPr>
          <w:rFonts w:ascii="Arial" w:hAnsi="Arial" w:cs="Arial"/>
          <w:sz w:val="22"/>
          <w:szCs w:val="22"/>
        </w:rPr>
        <w:t>92,6</w:t>
      </w:r>
      <w:r w:rsidR="00F24C28" w:rsidRPr="009062AE">
        <w:rPr>
          <w:rFonts w:ascii="Arial" w:hAnsi="Arial" w:cs="Arial"/>
          <w:sz w:val="22"/>
          <w:szCs w:val="22"/>
        </w:rPr>
        <w:t>%</w:t>
      </w:r>
      <w:r w:rsidRPr="000873B0">
        <w:rPr>
          <w:rFonts w:ascii="Arial" w:hAnsi="Arial" w:cs="Arial"/>
          <w:sz w:val="22"/>
          <w:szCs w:val="22"/>
        </w:rPr>
        <w:t xml:space="preserve"> στο σύνολο των καθαρών εισπράξεων από υπηρεσίες.</w:t>
      </w:r>
    </w:p>
    <w:p w14:paraId="63A804A1" w14:textId="36A49835" w:rsidR="007E3B77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 w:rsidRPr="000873B0">
        <w:rPr>
          <w:rFonts w:ascii="Arial" w:hAnsi="Arial" w:cs="Arial"/>
          <w:sz w:val="22"/>
          <w:szCs w:val="22"/>
        </w:rPr>
        <w:t xml:space="preserve">Την περίοδο </w:t>
      </w:r>
      <w:r w:rsidR="00DE5A38">
        <w:rPr>
          <w:rFonts w:ascii="Arial" w:hAnsi="Arial" w:cs="Arial"/>
          <w:sz w:val="22"/>
          <w:szCs w:val="22"/>
          <w:u w:val="single"/>
        </w:rPr>
        <w:t>Ιανουαρίου</w:t>
      </w:r>
      <w:r w:rsidR="00F5553E">
        <w:rPr>
          <w:rFonts w:ascii="Arial" w:hAnsi="Arial" w:cs="Arial"/>
          <w:sz w:val="22"/>
          <w:szCs w:val="22"/>
          <w:u w:val="single"/>
        </w:rPr>
        <w:t>-</w:t>
      </w:r>
      <w:r w:rsidR="00CE0083">
        <w:rPr>
          <w:rFonts w:ascii="Arial" w:hAnsi="Arial" w:cs="Arial"/>
          <w:sz w:val="22"/>
          <w:szCs w:val="22"/>
          <w:u w:val="single"/>
        </w:rPr>
        <w:t>Ιουνίου</w:t>
      </w:r>
      <w:r w:rsidR="00F5553E">
        <w:rPr>
          <w:rFonts w:ascii="Arial" w:hAnsi="Arial" w:cs="Arial"/>
          <w:sz w:val="22"/>
          <w:szCs w:val="22"/>
          <w:u w:val="single"/>
        </w:rPr>
        <w:t xml:space="preserve"> </w:t>
      </w:r>
      <w:r w:rsidR="0044335A">
        <w:rPr>
          <w:rFonts w:ascii="Arial" w:hAnsi="Arial" w:cs="Arial"/>
          <w:sz w:val="22"/>
          <w:szCs w:val="22"/>
          <w:u w:val="single"/>
        </w:rPr>
        <w:t>2025</w:t>
      </w:r>
      <w:r w:rsidR="006E570F" w:rsidRPr="006E570F">
        <w:rPr>
          <w:rFonts w:ascii="Arial" w:hAnsi="Arial" w:cs="Arial"/>
          <w:sz w:val="22"/>
          <w:szCs w:val="22"/>
          <w:u w:val="single"/>
        </w:rPr>
        <w:t>,</w:t>
      </w:r>
      <w:r w:rsidRPr="006835D3">
        <w:rPr>
          <w:rFonts w:ascii="Arial" w:hAnsi="Arial" w:cs="Arial"/>
          <w:sz w:val="22"/>
          <w:szCs w:val="22"/>
        </w:rPr>
        <w:t xml:space="preserve"> </w:t>
      </w:r>
      <w:r w:rsidRPr="000873B0">
        <w:rPr>
          <w:rFonts w:ascii="Arial" w:hAnsi="Arial" w:cs="Arial"/>
          <w:sz w:val="22"/>
          <w:szCs w:val="22"/>
        </w:rPr>
        <w:t xml:space="preserve">το ταξιδιωτικό ισοζύγιο εμφάνισε πλεόνασμα </w:t>
      </w:r>
      <w:r w:rsidR="0097268C">
        <w:rPr>
          <w:rFonts w:ascii="Arial" w:hAnsi="Arial" w:cs="Arial"/>
          <w:sz w:val="22"/>
          <w:szCs w:val="22"/>
        </w:rPr>
        <w:t>5.991,8</w:t>
      </w:r>
      <w:r w:rsidR="00413319">
        <w:rPr>
          <w:rFonts w:ascii="Arial" w:hAnsi="Arial" w:cs="Arial"/>
          <w:sz w:val="22"/>
          <w:szCs w:val="22"/>
        </w:rPr>
        <w:t> </w:t>
      </w:r>
      <w:r w:rsidRPr="000873B0">
        <w:rPr>
          <w:rFonts w:ascii="Arial" w:hAnsi="Arial" w:cs="Arial"/>
          <w:sz w:val="22"/>
          <w:szCs w:val="22"/>
        </w:rPr>
        <w:t xml:space="preserve">εκατ. ευρώ, έναντι πλεονάσματος </w:t>
      </w:r>
      <w:r w:rsidR="0097268C">
        <w:rPr>
          <w:rFonts w:ascii="Arial" w:hAnsi="Arial" w:cs="Arial"/>
          <w:sz w:val="22"/>
          <w:szCs w:val="22"/>
        </w:rPr>
        <w:t>5.554,5</w:t>
      </w:r>
      <w:r w:rsidR="001C2601">
        <w:rPr>
          <w:rFonts w:ascii="Arial" w:hAnsi="Arial" w:cs="Arial"/>
          <w:sz w:val="22"/>
          <w:szCs w:val="22"/>
        </w:rPr>
        <w:t xml:space="preserve"> </w:t>
      </w:r>
      <w:r w:rsidRPr="000873B0">
        <w:rPr>
          <w:rFonts w:ascii="Arial" w:hAnsi="Arial" w:cs="Arial"/>
          <w:sz w:val="22"/>
          <w:szCs w:val="22"/>
        </w:rPr>
        <w:t xml:space="preserve">εκατ. ευρώ την αντίστοιχη περίοδο του </w:t>
      </w:r>
      <w:r w:rsidR="0044335A">
        <w:rPr>
          <w:rFonts w:ascii="Arial" w:hAnsi="Arial" w:cs="Arial"/>
          <w:sz w:val="22"/>
          <w:szCs w:val="22"/>
        </w:rPr>
        <w:t>2024</w:t>
      </w:r>
      <w:r w:rsidRPr="000873B0">
        <w:rPr>
          <w:rFonts w:ascii="Arial" w:hAnsi="Arial" w:cs="Arial"/>
          <w:sz w:val="22"/>
          <w:szCs w:val="22"/>
        </w:rPr>
        <w:t xml:space="preserve">. Αύξηση κατά </w:t>
      </w:r>
      <w:r w:rsidR="0097268C">
        <w:rPr>
          <w:rFonts w:ascii="Arial" w:hAnsi="Arial" w:cs="Arial"/>
          <w:sz w:val="22"/>
          <w:szCs w:val="22"/>
        </w:rPr>
        <w:t>760,4</w:t>
      </w:r>
      <w:r w:rsidRPr="000873B0">
        <w:rPr>
          <w:rFonts w:ascii="Arial" w:hAnsi="Arial" w:cs="Arial"/>
          <w:sz w:val="22"/>
          <w:szCs w:val="22"/>
        </w:rPr>
        <w:t xml:space="preserve"> εκατ. ευρώ </w:t>
      </w:r>
      <w:r w:rsidR="009D32F6">
        <w:rPr>
          <w:rFonts w:ascii="Arial" w:hAnsi="Arial" w:cs="Arial"/>
          <w:sz w:val="22"/>
          <w:szCs w:val="22"/>
        </w:rPr>
        <w:t xml:space="preserve">ή </w:t>
      </w:r>
      <w:r w:rsidR="0097268C">
        <w:rPr>
          <w:rFonts w:ascii="Arial" w:hAnsi="Arial" w:cs="Arial"/>
          <w:sz w:val="22"/>
          <w:szCs w:val="22"/>
        </w:rPr>
        <w:t>11,0</w:t>
      </w:r>
      <w:r w:rsidRPr="000873B0">
        <w:rPr>
          <w:rFonts w:ascii="Arial" w:hAnsi="Arial" w:cs="Arial"/>
          <w:sz w:val="22"/>
          <w:szCs w:val="22"/>
        </w:rPr>
        <w:t xml:space="preserve">% παρουσίασαν οι ταξιδιωτικές εισπράξεις, οι οποίες διαμορφώθηκαν στα </w:t>
      </w:r>
      <w:r w:rsidR="0097268C">
        <w:rPr>
          <w:rFonts w:ascii="Arial" w:hAnsi="Arial" w:cs="Arial"/>
          <w:sz w:val="22"/>
          <w:szCs w:val="22"/>
        </w:rPr>
        <w:t>7.658,9</w:t>
      </w:r>
      <w:r w:rsidRPr="000873B0">
        <w:rPr>
          <w:rFonts w:ascii="Arial" w:hAnsi="Arial" w:cs="Arial"/>
          <w:sz w:val="22"/>
          <w:szCs w:val="22"/>
        </w:rPr>
        <w:t xml:space="preserve"> εκατ. ευρώ, ενώ αύξηση κατά </w:t>
      </w:r>
      <w:r w:rsidR="0097268C">
        <w:rPr>
          <w:rFonts w:ascii="Arial" w:hAnsi="Arial" w:cs="Arial"/>
          <w:sz w:val="22"/>
          <w:szCs w:val="22"/>
        </w:rPr>
        <w:t>323</w:t>
      </w:r>
      <w:r w:rsidR="0015363C">
        <w:rPr>
          <w:rFonts w:ascii="Arial" w:hAnsi="Arial" w:cs="Arial"/>
          <w:sz w:val="22"/>
          <w:szCs w:val="22"/>
        </w:rPr>
        <w:t>,1</w:t>
      </w:r>
      <w:r w:rsidRPr="000873B0">
        <w:rPr>
          <w:rFonts w:ascii="Arial" w:hAnsi="Arial" w:cs="Arial"/>
          <w:sz w:val="22"/>
          <w:szCs w:val="22"/>
        </w:rPr>
        <w:t xml:space="preserve"> εκατ. ευρώ </w:t>
      </w:r>
      <w:r w:rsidR="009D32F6">
        <w:rPr>
          <w:rFonts w:ascii="Arial" w:hAnsi="Arial" w:cs="Arial"/>
          <w:sz w:val="22"/>
          <w:szCs w:val="22"/>
        </w:rPr>
        <w:t xml:space="preserve">ή </w:t>
      </w:r>
      <w:r w:rsidR="0097268C">
        <w:rPr>
          <w:rFonts w:ascii="Arial" w:hAnsi="Arial" w:cs="Arial"/>
          <w:sz w:val="22"/>
          <w:szCs w:val="22"/>
        </w:rPr>
        <w:t>24,0</w:t>
      </w:r>
      <w:r w:rsidRPr="000873B0">
        <w:rPr>
          <w:rFonts w:ascii="Arial" w:hAnsi="Arial" w:cs="Arial"/>
          <w:sz w:val="22"/>
          <w:szCs w:val="22"/>
        </w:rPr>
        <w:t xml:space="preserve">% παρατηρήθηκε και στις ταξιδιωτικές πληρωμές, </w:t>
      </w:r>
      <w:r w:rsidR="002F48E1">
        <w:rPr>
          <w:rFonts w:ascii="Arial" w:hAnsi="Arial" w:cs="Arial"/>
          <w:sz w:val="22"/>
          <w:szCs w:val="22"/>
        </w:rPr>
        <w:t>οι οποίες</w:t>
      </w:r>
      <w:r w:rsidRPr="000873B0">
        <w:rPr>
          <w:rFonts w:ascii="Arial" w:hAnsi="Arial" w:cs="Arial"/>
          <w:sz w:val="22"/>
          <w:szCs w:val="22"/>
        </w:rPr>
        <w:t xml:space="preserve"> διαμορφώθηκαν στα </w:t>
      </w:r>
      <w:r w:rsidR="0015363C">
        <w:rPr>
          <w:rFonts w:ascii="Arial" w:hAnsi="Arial" w:cs="Arial"/>
          <w:sz w:val="22"/>
          <w:szCs w:val="22"/>
        </w:rPr>
        <w:t>1.</w:t>
      </w:r>
      <w:r w:rsidR="0097268C">
        <w:rPr>
          <w:rFonts w:ascii="Arial" w:hAnsi="Arial" w:cs="Arial"/>
          <w:sz w:val="22"/>
          <w:szCs w:val="22"/>
        </w:rPr>
        <w:t>667,</w:t>
      </w:r>
      <w:r w:rsidR="00ED1014">
        <w:rPr>
          <w:rFonts w:ascii="Arial" w:hAnsi="Arial" w:cs="Arial"/>
          <w:sz w:val="22"/>
          <w:szCs w:val="22"/>
        </w:rPr>
        <w:t>2</w:t>
      </w:r>
      <w:r w:rsidRPr="000873B0">
        <w:rPr>
          <w:rFonts w:ascii="Arial" w:hAnsi="Arial" w:cs="Arial"/>
          <w:sz w:val="22"/>
          <w:szCs w:val="22"/>
        </w:rPr>
        <w:t xml:space="preserve"> εκατ. ευρώ. Η άνοδος των ταξιδιωτικών εισπράξεων </w:t>
      </w:r>
      <w:r w:rsidR="00F34446" w:rsidRPr="00890565">
        <w:rPr>
          <w:rFonts w:ascii="Arial" w:hAnsi="Arial" w:cs="Arial"/>
          <w:sz w:val="22"/>
          <w:szCs w:val="22"/>
        </w:rPr>
        <w:t>προήλθε από την</w:t>
      </w:r>
      <w:r w:rsidRPr="000873B0">
        <w:rPr>
          <w:rFonts w:ascii="Arial" w:hAnsi="Arial" w:cs="Arial"/>
          <w:sz w:val="22"/>
          <w:szCs w:val="22"/>
        </w:rPr>
        <w:t xml:space="preserve"> αύξηση της εισερχόμενης ταξιδιωτικής κίνησης κατά </w:t>
      </w:r>
      <w:r w:rsidR="0097268C">
        <w:rPr>
          <w:rFonts w:ascii="Arial" w:hAnsi="Arial" w:cs="Arial"/>
          <w:sz w:val="22"/>
          <w:szCs w:val="22"/>
        </w:rPr>
        <w:t>0,6</w:t>
      </w:r>
      <w:r w:rsidRPr="000873B0">
        <w:rPr>
          <w:rFonts w:ascii="Arial" w:hAnsi="Arial" w:cs="Arial"/>
          <w:sz w:val="22"/>
          <w:szCs w:val="22"/>
        </w:rPr>
        <w:t>%</w:t>
      </w:r>
      <w:r w:rsidR="0097268C">
        <w:rPr>
          <w:rFonts w:ascii="Arial" w:hAnsi="Arial" w:cs="Arial"/>
          <w:sz w:val="22"/>
          <w:szCs w:val="22"/>
        </w:rPr>
        <w:t>, αλλά κυρίως</w:t>
      </w:r>
      <w:r w:rsidR="00997B9D">
        <w:rPr>
          <w:rFonts w:ascii="Arial" w:hAnsi="Arial" w:cs="Arial"/>
          <w:sz w:val="22"/>
          <w:szCs w:val="22"/>
        </w:rPr>
        <w:t xml:space="preserve"> </w:t>
      </w:r>
      <w:r w:rsidR="0015363C">
        <w:rPr>
          <w:rFonts w:ascii="Arial" w:hAnsi="Arial" w:cs="Arial"/>
          <w:sz w:val="22"/>
          <w:szCs w:val="22"/>
        </w:rPr>
        <w:t xml:space="preserve">από την ενίσχυση </w:t>
      </w:r>
      <w:r w:rsidR="00D735F6">
        <w:rPr>
          <w:rFonts w:ascii="Arial" w:hAnsi="Arial" w:cs="Arial"/>
          <w:sz w:val="22"/>
          <w:szCs w:val="22"/>
        </w:rPr>
        <w:t>τ</w:t>
      </w:r>
      <w:r w:rsidR="001C2601">
        <w:rPr>
          <w:rFonts w:ascii="Arial" w:hAnsi="Arial" w:cs="Arial"/>
          <w:sz w:val="22"/>
          <w:szCs w:val="22"/>
        </w:rPr>
        <w:t>η</w:t>
      </w:r>
      <w:r w:rsidR="00D735F6">
        <w:rPr>
          <w:rFonts w:ascii="Arial" w:hAnsi="Arial" w:cs="Arial"/>
          <w:sz w:val="22"/>
          <w:szCs w:val="22"/>
        </w:rPr>
        <w:t>ς</w:t>
      </w:r>
      <w:r w:rsidRPr="000873B0">
        <w:rPr>
          <w:rFonts w:ascii="Arial" w:hAnsi="Arial" w:cs="Arial"/>
          <w:sz w:val="22"/>
          <w:szCs w:val="22"/>
        </w:rPr>
        <w:t xml:space="preserve"> μέση</w:t>
      </w:r>
      <w:r w:rsidR="00D735F6">
        <w:rPr>
          <w:rFonts w:ascii="Arial" w:hAnsi="Arial" w:cs="Arial"/>
          <w:sz w:val="22"/>
          <w:szCs w:val="22"/>
        </w:rPr>
        <w:t>ς</w:t>
      </w:r>
      <w:r w:rsidRPr="000873B0">
        <w:rPr>
          <w:rFonts w:ascii="Arial" w:hAnsi="Arial" w:cs="Arial"/>
          <w:sz w:val="22"/>
          <w:szCs w:val="22"/>
        </w:rPr>
        <w:t xml:space="preserve"> δαπάνη</w:t>
      </w:r>
      <w:r w:rsidR="00D735F6">
        <w:rPr>
          <w:rFonts w:ascii="Arial" w:hAnsi="Arial" w:cs="Arial"/>
          <w:sz w:val="22"/>
          <w:szCs w:val="22"/>
        </w:rPr>
        <w:t>ς</w:t>
      </w:r>
      <w:r w:rsidRPr="000873B0">
        <w:rPr>
          <w:rFonts w:ascii="Arial" w:hAnsi="Arial" w:cs="Arial"/>
          <w:sz w:val="22"/>
          <w:szCs w:val="22"/>
        </w:rPr>
        <w:t xml:space="preserve"> ανά ταξίδι </w:t>
      </w:r>
      <w:r w:rsidRPr="000873B0">
        <w:rPr>
          <w:rFonts w:ascii="Arial" w:hAnsi="Arial" w:cs="Arial"/>
          <w:sz w:val="22"/>
          <w:szCs w:val="22"/>
        </w:rPr>
        <w:lastRenderedPageBreak/>
        <w:t xml:space="preserve">κατά </w:t>
      </w:r>
      <w:r w:rsidR="0015363C">
        <w:rPr>
          <w:rFonts w:ascii="Arial" w:hAnsi="Arial" w:cs="Arial"/>
          <w:sz w:val="22"/>
          <w:szCs w:val="22"/>
        </w:rPr>
        <w:t>10</w:t>
      </w:r>
      <w:r w:rsidR="00D735F6">
        <w:rPr>
          <w:rFonts w:ascii="Arial" w:hAnsi="Arial" w:cs="Arial"/>
          <w:sz w:val="22"/>
          <w:szCs w:val="22"/>
        </w:rPr>
        <w:t>,</w:t>
      </w:r>
      <w:r w:rsidR="0097268C">
        <w:rPr>
          <w:rFonts w:ascii="Arial" w:hAnsi="Arial" w:cs="Arial"/>
          <w:sz w:val="22"/>
          <w:szCs w:val="22"/>
        </w:rPr>
        <w:t>1</w:t>
      </w:r>
      <w:r w:rsidRPr="000873B0">
        <w:rPr>
          <w:rFonts w:ascii="Arial" w:hAnsi="Arial" w:cs="Arial"/>
          <w:sz w:val="22"/>
          <w:szCs w:val="22"/>
        </w:rPr>
        <w:t xml:space="preserve">%. Οι καθαρές εισπράξεις από την παροχή ταξιδιωτικών υπηρεσιών αντιστάθμισαν </w:t>
      </w:r>
      <w:r w:rsidRPr="00261AB5">
        <w:rPr>
          <w:rFonts w:ascii="Arial" w:hAnsi="Arial" w:cs="Arial"/>
          <w:sz w:val="22"/>
          <w:szCs w:val="22"/>
        </w:rPr>
        <w:t xml:space="preserve">κατά </w:t>
      </w:r>
      <w:r w:rsidR="009062AE" w:rsidRPr="009062AE">
        <w:rPr>
          <w:rFonts w:ascii="Arial" w:hAnsi="Arial" w:cs="Arial"/>
          <w:sz w:val="22"/>
          <w:szCs w:val="22"/>
        </w:rPr>
        <w:t>35,4</w:t>
      </w:r>
      <w:r w:rsidR="00F24C28" w:rsidRPr="009062AE">
        <w:rPr>
          <w:rFonts w:ascii="Arial" w:hAnsi="Arial" w:cs="Arial"/>
          <w:sz w:val="22"/>
          <w:szCs w:val="22"/>
        </w:rPr>
        <w:t>%</w:t>
      </w:r>
      <w:r w:rsidRPr="000873B0">
        <w:rPr>
          <w:rFonts w:ascii="Arial" w:hAnsi="Arial" w:cs="Arial"/>
          <w:sz w:val="22"/>
          <w:szCs w:val="22"/>
        </w:rPr>
        <w:t xml:space="preserve"> το έλλειμμα του ισοζυγίου αγαθών και συνέβαλαν κατά </w:t>
      </w:r>
      <w:r w:rsidR="009062AE" w:rsidRPr="009062AE">
        <w:rPr>
          <w:rFonts w:ascii="Arial" w:hAnsi="Arial" w:cs="Arial"/>
          <w:sz w:val="22"/>
          <w:szCs w:val="22"/>
        </w:rPr>
        <w:t>81,6</w:t>
      </w:r>
      <w:r w:rsidR="00F24C28" w:rsidRPr="009062AE">
        <w:rPr>
          <w:rFonts w:ascii="Arial" w:hAnsi="Arial" w:cs="Arial"/>
          <w:sz w:val="22"/>
          <w:szCs w:val="22"/>
        </w:rPr>
        <w:t>%</w:t>
      </w:r>
      <w:r w:rsidRPr="000873B0">
        <w:rPr>
          <w:rFonts w:ascii="Arial" w:hAnsi="Arial" w:cs="Arial"/>
          <w:sz w:val="22"/>
          <w:szCs w:val="22"/>
        </w:rPr>
        <w:t xml:space="preserve"> στο</w:t>
      </w:r>
      <w:r w:rsidRPr="006967AC">
        <w:rPr>
          <w:rFonts w:ascii="Arial" w:hAnsi="Arial" w:cs="Arial"/>
          <w:sz w:val="22"/>
          <w:szCs w:val="22"/>
        </w:rPr>
        <w:t xml:space="preserve"> σύνολο των καθαρών εισπράξεων από υπηρεσίες.</w:t>
      </w:r>
    </w:p>
    <w:p w14:paraId="3FC677EB" w14:textId="77777777" w:rsidR="007E3B77" w:rsidRDefault="007E3B77" w:rsidP="007E3B77">
      <w:pPr>
        <w:spacing w:before="120" w:line="360" w:lineRule="auto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Ταξιδιωτικές εισπράξεις</w:t>
      </w:r>
    </w:p>
    <w:p w14:paraId="3DD3AE3A" w14:textId="79122862" w:rsidR="00B83A3E" w:rsidRDefault="00F5553E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</w:t>
      </w:r>
      <w:r w:rsidR="009D1EA6">
        <w:rPr>
          <w:rFonts w:ascii="Arial" w:hAnsi="Arial" w:cs="Arial"/>
          <w:sz w:val="22"/>
          <w:szCs w:val="22"/>
        </w:rPr>
        <w:t>ν</w:t>
      </w:r>
      <w:r>
        <w:rPr>
          <w:rFonts w:ascii="Arial" w:hAnsi="Arial" w:cs="Arial"/>
          <w:sz w:val="22"/>
          <w:szCs w:val="22"/>
        </w:rPr>
        <w:t xml:space="preserve"> </w:t>
      </w:r>
      <w:r w:rsidR="00CE0083">
        <w:rPr>
          <w:rFonts w:ascii="Arial" w:hAnsi="Arial" w:cs="Arial"/>
          <w:sz w:val="22"/>
          <w:szCs w:val="22"/>
          <w:u w:val="single"/>
        </w:rPr>
        <w:t>Ιούνιο</w:t>
      </w:r>
      <w:r w:rsidR="007E3B77" w:rsidRPr="00F5553E">
        <w:rPr>
          <w:rFonts w:ascii="Arial" w:hAnsi="Arial" w:cs="Arial"/>
          <w:sz w:val="22"/>
          <w:szCs w:val="22"/>
          <w:u w:val="single"/>
        </w:rPr>
        <w:t xml:space="preserve"> του </w:t>
      </w:r>
      <w:r w:rsidR="0044335A" w:rsidRPr="00F5553E">
        <w:rPr>
          <w:rFonts w:ascii="Arial" w:hAnsi="Arial" w:cs="Arial"/>
          <w:sz w:val="22"/>
          <w:szCs w:val="22"/>
          <w:u w:val="single"/>
        </w:rPr>
        <w:t>2025</w:t>
      </w:r>
      <w:r w:rsidR="007E3B77">
        <w:rPr>
          <w:rFonts w:ascii="Arial" w:hAnsi="Arial" w:cs="Arial"/>
          <w:sz w:val="22"/>
          <w:szCs w:val="22"/>
        </w:rPr>
        <w:t xml:space="preserve">, όπως προαναφέρθηκε, οι ταξιδιωτικές εισπράξεις αυξήθηκαν κατά </w:t>
      </w:r>
      <w:r w:rsidR="0097268C">
        <w:rPr>
          <w:rFonts w:ascii="Arial" w:hAnsi="Arial" w:cs="Arial"/>
          <w:sz w:val="22"/>
          <w:szCs w:val="22"/>
        </w:rPr>
        <w:t>8,8</w:t>
      </w:r>
      <w:r w:rsidR="007E3B77">
        <w:rPr>
          <w:rFonts w:ascii="Arial" w:hAnsi="Arial" w:cs="Arial"/>
          <w:sz w:val="22"/>
          <w:szCs w:val="22"/>
        </w:rPr>
        <w:t xml:space="preserve">% σε σύγκριση με τον αντίστοιχο μήνα του </w:t>
      </w:r>
      <w:r w:rsidR="0044335A">
        <w:rPr>
          <w:rFonts w:ascii="Arial" w:hAnsi="Arial" w:cs="Arial"/>
          <w:sz w:val="22"/>
          <w:szCs w:val="22"/>
        </w:rPr>
        <w:t>2024</w:t>
      </w:r>
      <w:r w:rsidR="007E3B77">
        <w:rPr>
          <w:rFonts w:ascii="Arial" w:hAnsi="Arial" w:cs="Arial"/>
          <w:sz w:val="22"/>
          <w:szCs w:val="22"/>
        </w:rPr>
        <w:t xml:space="preserve">. Αναλυτικότερα, </w:t>
      </w:r>
      <w:r w:rsidR="0015363C">
        <w:rPr>
          <w:rFonts w:ascii="Arial" w:hAnsi="Arial" w:cs="Arial"/>
          <w:sz w:val="22"/>
          <w:szCs w:val="22"/>
        </w:rPr>
        <w:t>άνοδο</w:t>
      </w:r>
      <w:r w:rsidR="007E3B77">
        <w:rPr>
          <w:rFonts w:ascii="Arial" w:hAnsi="Arial" w:cs="Arial"/>
          <w:sz w:val="22"/>
          <w:szCs w:val="22"/>
        </w:rPr>
        <w:t xml:space="preserve"> κατά </w:t>
      </w:r>
      <w:r w:rsidR="00312CB2">
        <w:rPr>
          <w:rFonts w:ascii="Arial" w:hAnsi="Arial" w:cs="Arial"/>
          <w:sz w:val="22"/>
          <w:szCs w:val="22"/>
        </w:rPr>
        <w:t>5,5</w:t>
      </w:r>
      <w:r w:rsidR="007E3B77">
        <w:rPr>
          <w:rFonts w:ascii="Arial" w:hAnsi="Arial" w:cs="Arial"/>
          <w:sz w:val="22"/>
          <w:szCs w:val="22"/>
        </w:rPr>
        <w:t xml:space="preserve">% </w:t>
      </w:r>
      <w:r w:rsidR="00BD4A1A">
        <w:rPr>
          <w:rFonts w:ascii="Arial" w:hAnsi="Arial" w:cs="Arial"/>
          <w:sz w:val="22"/>
          <w:szCs w:val="22"/>
        </w:rPr>
        <w:t>κατέγραψαν</w:t>
      </w:r>
      <w:r w:rsidR="007E3B77">
        <w:rPr>
          <w:rFonts w:ascii="Arial" w:hAnsi="Arial" w:cs="Arial"/>
          <w:sz w:val="22"/>
          <w:szCs w:val="22"/>
        </w:rPr>
        <w:t xml:space="preserve"> οι εισπράξεις από κατοίκους των χωρών της ΕΕ-27, οι οποίες διαμορφώθηκαν στα </w:t>
      </w:r>
      <w:r w:rsidR="00BD4A1A">
        <w:rPr>
          <w:rFonts w:ascii="Arial" w:hAnsi="Arial" w:cs="Arial"/>
          <w:sz w:val="22"/>
          <w:szCs w:val="22"/>
        </w:rPr>
        <w:t>1.</w:t>
      </w:r>
      <w:r w:rsidR="00312CB2">
        <w:rPr>
          <w:rFonts w:ascii="Arial" w:hAnsi="Arial" w:cs="Arial"/>
          <w:sz w:val="22"/>
          <w:szCs w:val="22"/>
        </w:rPr>
        <w:t>743</w:t>
      </w:r>
      <w:r w:rsidR="00BD4A1A">
        <w:rPr>
          <w:rFonts w:ascii="Arial" w:hAnsi="Arial" w:cs="Arial"/>
          <w:sz w:val="22"/>
          <w:szCs w:val="22"/>
        </w:rPr>
        <w:t>,0</w:t>
      </w:r>
      <w:r w:rsidR="007E3B77">
        <w:rPr>
          <w:rFonts w:ascii="Arial" w:hAnsi="Arial" w:cs="Arial"/>
          <w:sz w:val="22"/>
          <w:szCs w:val="22"/>
        </w:rPr>
        <w:t xml:space="preserve"> εκατ. ευρώ, </w:t>
      </w:r>
      <w:r w:rsidR="00BD4A1A">
        <w:rPr>
          <w:rFonts w:ascii="Arial" w:hAnsi="Arial" w:cs="Arial"/>
          <w:sz w:val="22"/>
          <w:szCs w:val="22"/>
        </w:rPr>
        <w:t>όπως και</w:t>
      </w:r>
      <w:r w:rsidR="007104D5">
        <w:rPr>
          <w:rFonts w:ascii="Arial" w:hAnsi="Arial" w:cs="Arial"/>
          <w:sz w:val="22"/>
          <w:szCs w:val="22"/>
        </w:rPr>
        <w:t xml:space="preserve"> </w:t>
      </w:r>
      <w:r w:rsidR="007E3B77">
        <w:rPr>
          <w:rFonts w:ascii="Arial" w:hAnsi="Arial" w:cs="Arial"/>
          <w:sz w:val="22"/>
          <w:szCs w:val="22"/>
        </w:rPr>
        <w:t xml:space="preserve">οι εισπράξεις από κατοίκους των </w:t>
      </w:r>
      <w:r w:rsidR="0044335A">
        <w:rPr>
          <w:rFonts w:ascii="Arial" w:hAnsi="Arial" w:cs="Arial"/>
          <w:sz w:val="22"/>
          <w:szCs w:val="22"/>
        </w:rPr>
        <w:t xml:space="preserve">λοιπών </w:t>
      </w:r>
      <w:r w:rsidR="001C2601">
        <w:rPr>
          <w:rFonts w:ascii="Arial" w:hAnsi="Arial" w:cs="Arial"/>
          <w:sz w:val="22"/>
          <w:szCs w:val="22"/>
        </w:rPr>
        <w:t>χωρών</w:t>
      </w:r>
      <w:r w:rsidR="003718A3" w:rsidRPr="003718A3">
        <w:rPr>
          <w:rFonts w:ascii="Arial" w:hAnsi="Arial" w:cs="Arial"/>
          <w:sz w:val="22"/>
          <w:szCs w:val="22"/>
        </w:rPr>
        <w:t>,</w:t>
      </w:r>
      <w:r w:rsidR="00BD4A1A">
        <w:rPr>
          <w:rFonts w:ascii="Arial" w:hAnsi="Arial" w:cs="Arial"/>
          <w:sz w:val="22"/>
          <w:szCs w:val="22"/>
        </w:rPr>
        <w:t xml:space="preserve"> οι οποίες </w:t>
      </w:r>
      <w:r w:rsidR="00AD7878">
        <w:rPr>
          <w:rFonts w:ascii="Arial" w:hAnsi="Arial" w:cs="Arial"/>
          <w:sz w:val="22"/>
          <w:szCs w:val="22"/>
        </w:rPr>
        <w:t>αυξήθηκαν</w:t>
      </w:r>
      <w:r w:rsidR="007E3B77">
        <w:rPr>
          <w:rFonts w:ascii="Arial" w:hAnsi="Arial" w:cs="Arial"/>
          <w:sz w:val="22"/>
          <w:szCs w:val="22"/>
        </w:rPr>
        <w:t xml:space="preserve"> κατά </w:t>
      </w:r>
      <w:r w:rsidR="00312CB2">
        <w:rPr>
          <w:rFonts w:ascii="Arial" w:hAnsi="Arial" w:cs="Arial"/>
          <w:sz w:val="22"/>
          <w:szCs w:val="22"/>
        </w:rPr>
        <w:t>12,0</w:t>
      </w:r>
      <w:r w:rsidR="007E3B77">
        <w:rPr>
          <w:rFonts w:ascii="Arial" w:hAnsi="Arial" w:cs="Arial"/>
          <w:sz w:val="22"/>
          <w:szCs w:val="22"/>
        </w:rPr>
        <w:t>% (</w:t>
      </w:r>
      <w:r w:rsidR="00CE0083">
        <w:rPr>
          <w:rFonts w:ascii="Arial" w:hAnsi="Arial" w:cs="Arial"/>
          <w:sz w:val="22"/>
          <w:szCs w:val="22"/>
        </w:rPr>
        <w:t>Ιούνιο</w:t>
      </w:r>
      <w:r w:rsidR="007E3B77">
        <w:rPr>
          <w:rFonts w:ascii="Arial" w:hAnsi="Arial" w:cs="Arial"/>
          <w:sz w:val="22"/>
          <w:szCs w:val="22"/>
        </w:rPr>
        <w:t xml:space="preserve">ς </w:t>
      </w:r>
      <w:r w:rsidR="0044335A">
        <w:rPr>
          <w:rFonts w:ascii="Arial" w:hAnsi="Arial" w:cs="Arial"/>
          <w:sz w:val="22"/>
          <w:szCs w:val="22"/>
        </w:rPr>
        <w:t>2025</w:t>
      </w:r>
      <w:r w:rsidR="007E3B77">
        <w:rPr>
          <w:rFonts w:ascii="Arial" w:hAnsi="Arial" w:cs="Arial"/>
          <w:sz w:val="22"/>
          <w:szCs w:val="22"/>
        </w:rPr>
        <w:t xml:space="preserve">: </w:t>
      </w:r>
      <w:r w:rsidR="00312CB2">
        <w:rPr>
          <w:rFonts w:ascii="Arial" w:hAnsi="Arial" w:cs="Arial"/>
          <w:sz w:val="22"/>
          <w:szCs w:val="22"/>
        </w:rPr>
        <w:t>1.397,4</w:t>
      </w:r>
      <w:r w:rsidR="007E3B77">
        <w:rPr>
          <w:rFonts w:ascii="Arial" w:hAnsi="Arial" w:cs="Arial"/>
          <w:sz w:val="22"/>
          <w:szCs w:val="22"/>
        </w:rPr>
        <w:t xml:space="preserve"> εκατ. ευρώ, </w:t>
      </w:r>
      <w:r w:rsidR="00CE0083">
        <w:rPr>
          <w:rFonts w:ascii="Arial" w:hAnsi="Arial" w:cs="Arial"/>
          <w:sz w:val="22"/>
          <w:szCs w:val="22"/>
        </w:rPr>
        <w:t>Ιούνιο</w:t>
      </w:r>
      <w:r w:rsidR="007E3B77">
        <w:rPr>
          <w:rFonts w:ascii="Arial" w:hAnsi="Arial" w:cs="Arial"/>
          <w:sz w:val="22"/>
          <w:szCs w:val="22"/>
        </w:rPr>
        <w:t xml:space="preserve">ς </w:t>
      </w:r>
      <w:r w:rsidR="0044335A">
        <w:rPr>
          <w:rFonts w:ascii="Arial" w:hAnsi="Arial" w:cs="Arial"/>
          <w:sz w:val="22"/>
          <w:szCs w:val="22"/>
        </w:rPr>
        <w:t>2024</w:t>
      </w:r>
      <w:r w:rsidR="007E3B77">
        <w:rPr>
          <w:rFonts w:ascii="Arial" w:hAnsi="Arial" w:cs="Arial"/>
          <w:sz w:val="22"/>
          <w:szCs w:val="22"/>
        </w:rPr>
        <w:t xml:space="preserve">: </w:t>
      </w:r>
      <w:r w:rsidR="00312CB2">
        <w:rPr>
          <w:rFonts w:ascii="Arial" w:hAnsi="Arial" w:cs="Arial"/>
          <w:sz w:val="22"/>
          <w:szCs w:val="22"/>
        </w:rPr>
        <w:t>1.247,8</w:t>
      </w:r>
      <w:r w:rsidR="007E3B77">
        <w:rPr>
          <w:rFonts w:ascii="Arial" w:hAnsi="Arial" w:cs="Arial"/>
          <w:sz w:val="22"/>
          <w:szCs w:val="22"/>
        </w:rPr>
        <w:t xml:space="preserve"> εκατ. ευρώ). </w:t>
      </w:r>
      <w:r w:rsidR="00B95ACB">
        <w:rPr>
          <w:rFonts w:ascii="Arial" w:hAnsi="Arial" w:cs="Arial"/>
          <w:sz w:val="22"/>
          <w:szCs w:val="22"/>
        </w:rPr>
        <w:t xml:space="preserve">Η </w:t>
      </w:r>
      <w:r w:rsidR="008A20A0">
        <w:rPr>
          <w:rFonts w:ascii="Arial" w:hAnsi="Arial" w:cs="Arial"/>
          <w:sz w:val="22"/>
          <w:szCs w:val="22"/>
        </w:rPr>
        <w:t xml:space="preserve">ενίσχυση </w:t>
      </w:r>
      <w:r w:rsidR="00B95ACB">
        <w:rPr>
          <w:rFonts w:ascii="Arial" w:hAnsi="Arial" w:cs="Arial"/>
          <w:sz w:val="22"/>
          <w:szCs w:val="22"/>
        </w:rPr>
        <w:t xml:space="preserve">των εισπράξεων από κατοίκους των χωρών της ΕΕ-27 ήταν αποτέλεσμα της </w:t>
      </w:r>
      <w:r w:rsidR="00BD4A1A">
        <w:rPr>
          <w:rFonts w:ascii="Arial" w:hAnsi="Arial" w:cs="Arial"/>
          <w:sz w:val="22"/>
          <w:szCs w:val="22"/>
        </w:rPr>
        <w:t>ανόδου</w:t>
      </w:r>
      <w:r w:rsidR="00B95ACB">
        <w:rPr>
          <w:rFonts w:ascii="Arial" w:hAnsi="Arial" w:cs="Arial"/>
          <w:sz w:val="22"/>
          <w:szCs w:val="22"/>
        </w:rPr>
        <w:t xml:space="preserve"> των εισπράξεων </w:t>
      </w:r>
      <w:r w:rsidR="007E3B77">
        <w:rPr>
          <w:rFonts w:ascii="Arial" w:hAnsi="Arial" w:cs="Arial"/>
          <w:sz w:val="22"/>
          <w:szCs w:val="22"/>
        </w:rPr>
        <w:t xml:space="preserve">από κατοίκους των χωρών της ζώνης του ευρώ κατά </w:t>
      </w:r>
      <w:r w:rsidR="00312CB2">
        <w:rPr>
          <w:rFonts w:ascii="Arial" w:hAnsi="Arial" w:cs="Arial"/>
          <w:sz w:val="22"/>
          <w:szCs w:val="22"/>
        </w:rPr>
        <w:t>13,5</w:t>
      </w:r>
      <w:r w:rsidR="007E3B77">
        <w:rPr>
          <w:rFonts w:ascii="Arial" w:hAnsi="Arial" w:cs="Arial"/>
          <w:sz w:val="22"/>
          <w:szCs w:val="22"/>
        </w:rPr>
        <w:t>% (</w:t>
      </w:r>
      <w:r w:rsidR="00CE0083">
        <w:rPr>
          <w:rFonts w:ascii="Arial" w:hAnsi="Arial" w:cs="Arial"/>
          <w:sz w:val="22"/>
          <w:szCs w:val="22"/>
        </w:rPr>
        <w:t>Ιούνιο</w:t>
      </w:r>
      <w:r w:rsidR="007E3B77">
        <w:rPr>
          <w:rFonts w:ascii="Arial" w:hAnsi="Arial" w:cs="Arial"/>
          <w:sz w:val="22"/>
          <w:szCs w:val="22"/>
        </w:rPr>
        <w:t xml:space="preserve">ς </w:t>
      </w:r>
      <w:r w:rsidR="0044335A">
        <w:rPr>
          <w:rFonts w:ascii="Arial" w:hAnsi="Arial" w:cs="Arial"/>
          <w:sz w:val="22"/>
          <w:szCs w:val="22"/>
        </w:rPr>
        <w:t>2025</w:t>
      </w:r>
      <w:r w:rsidR="007E3B77">
        <w:rPr>
          <w:rFonts w:ascii="Arial" w:hAnsi="Arial" w:cs="Arial"/>
          <w:sz w:val="22"/>
          <w:szCs w:val="22"/>
        </w:rPr>
        <w:t xml:space="preserve">: </w:t>
      </w:r>
      <w:r w:rsidR="00BD4A1A">
        <w:rPr>
          <w:rFonts w:ascii="Arial" w:hAnsi="Arial" w:cs="Arial"/>
          <w:sz w:val="22"/>
          <w:szCs w:val="22"/>
        </w:rPr>
        <w:t>1.</w:t>
      </w:r>
      <w:r w:rsidR="00312CB2">
        <w:rPr>
          <w:rFonts w:ascii="Arial" w:hAnsi="Arial" w:cs="Arial"/>
          <w:sz w:val="22"/>
          <w:szCs w:val="22"/>
        </w:rPr>
        <w:t>410,8</w:t>
      </w:r>
      <w:r w:rsidR="00AD7878">
        <w:rPr>
          <w:rFonts w:ascii="Arial" w:hAnsi="Arial" w:cs="Arial"/>
          <w:sz w:val="22"/>
          <w:szCs w:val="22"/>
        </w:rPr>
        <w:t xml:space="preserve"> </w:t>
      </w:r>
      <w:r w:rsidR="007E3B77">
        <w:rPr>
          <w:rFonts w:ascii="Arial" w:hAnsi="Arial" w:cs="Arial"/>
          <w:sz w:val="22"/>
          <w:szCs w:val="22"/>
        </w:rPr>
        <w:t>εκατ.</w:t>
      </w:r>
      <w:r w:rsidR="00DF6CBC">
        <w:rPr>
          <w:rFonts w:ascii="Arial" w:hAnsi="Arial" w:cs="Arial"/>
          <w:sz w:val="22"/>
          <w:szCs w:val="22"/>
        </w:rPr>
        <w:t xml:space="preserve"> </w:t>
      </w:r>
      <w:r w:rsidR="007E3B77">
        <w:rPr>
          <w:rFonts w:ascii="Arial" w:hAnsi="Arial" w:cs="Arial"/>
          <w:sz w:val="22"/>
          <w:szCs w:val="22"/>
        </w:rPr>
        <w:t xml:space="preserve">ευρώ, </w:t>
      </w:r>
      <w:r w:rsidR="00CE0083">
        <w:rPr>
          <w:rFonts w:ascii="Arial" w:hAnsi="Arial" w:cs="Arial"/>
          <w:sz w:val="22"/>
          <w:szCs w:val="22"/>
        </w:rPr>
        <w:t>Ιούνιο</w:t>
      </w:r>
      <w:r w:rsidR="007E3B77">
        <w:rPr>
          <w:rFonts w:ascii="Arial" w:hAnsi="Arial" w:cs="Arial"/>
          <w:sz w:val="22"/>
          <w:szCs w:val="22"/>
        </w:rPr>
        <w:t xml:space="preserve">ς </w:t>
      </w:r>
      <w:r w:rsidR="0044335A">
        <w:rPr>
          <w:rFonts w:ascii="Arial" w:hAnsi="Arial" w:cs="Arial"/>
          <w:sz w:val="22"/>
          <w:szCs w:val="22"/>
        </w:rPr>
        <w:t>2024</w:t>
      </w:r>
      <w:r w:rsidR="007E3B77">
        <w:rPr>
          <w:rFonts w:ascii="Arial" w:hAnsi="Arial" w:cs="Arial"/>
          <w:sz w:val="22"/>
          <w:szCs w:val="22"/>
        </w:rPr>
        <w:t xml:space="preserve">: </w:t>
      </w:r>
      <w:r w:rsidR="00312CB2">
        <w:rPr>
          <w:rFonts w:ascii="Arial" w:hAnsi="Arial" w:cs="Arial"/>
          <w:sz w:val="22"/>
          <w:szCs w:val="22"/>
        </w:rPr>
        <w:t>1.243</w:t>
      </w:r>
      <w:r w:rsidR="00BD4A1A">
        <w:rPr>
          <w:rFonts w:ascii="Arial" w:hAnsi="Arial" w:cs="Arial"/>
          <w:sz w:val="22"/>
          <w:szCs w:val="22"/>
        </w:rPr>
        <w:t>,0</w:t>
      </w:r>
      <w:r w:rsidR="007E3B77">
        <w:rPr>
          <w:rFonts w:ascii="Arial" w:hAnsi="Arial" w:cs="Arial"/>
          <w:sz w:val="22"/>
          <w:szCs w:val="22"/>
        </w:rPr>
        <w:t xml:space="preserve"> εκατ. ευρώ)</w:t>
      </w:r>
      <w:r w:rsidR="00312CB2">
        <w:rPr>
          <w:rFonts w:ascii="Arial" w:hAnsi="Arial" w:cs="Arial"/>
          <w:sz w:val="22"/>
          <w:szCs w:val="22"/>
        </w:rPr>
        <w:t xml:space="preserve">, καθώς οι </w:t>
      </w:r>
      <w:r w:rsidR="00BD4A1A">
        <w:rPr>
          <w:rFonts w:ascii="Arial" w:hAnsi="Arial" w:cs="Arial"/>
          <w:sz w:val="22"/>
          <w:szCs w:val="22"/>
        </w:rPr>
        <w:t>εισπράξε</w:t>
      </w:r>
      <w:r w:rsidR="00312CB2">
        <w:rPr>
          <w:rFonts w:ascii="Arial" w:hAnsi="Arial" w:cs="Arial"/>
          <w:sz w:val="22"/>
          <w:szCs w:val="22"/>
        </w:rPr>
        <w:t>ις</w:t>
      </w:r>
      <w:r w:rsidR="007E3B77">
        <w:rPr>
          <w:rFonts w:ascii="Arial" w:hAnsi="Arial" w:cs="Arial"/>
          <w:sz w:val="22"/>
          <w:szCs w:val="22"/>
        </w:rPr>
        <w:t xml:space="preserve"> από κατοίκους των χωρών της ΕΕ-27 εκτός της ζώνης του ευρώ </w:t>
      </w:r>
      <w:r w:rsidR="00312CB2">
        <w:rPr>
          <w:rFonts w:ascii="Arial" w:hAnsi="Arial" w:cs="Arial"/>
          <w:sz w:val="22"/>
          <w:szCs w:val="22"/>
        </w:rPr>
        <w:t xml:space="preserve">μειώθηκαν </w:t>
      </w:r>
      <w:r w:rsidR="007E3B77">
        <w:rPr>
          <w:rFonts w:ascii="Arial" w:hAnsi="Arial" w:cs="Arial"/>
          <w:sz w:val="22"/>
          <w:szCs w:val="22"/>
        </w:rPr>
        <w:t xml:space="preserve">κατά </w:t>
      </w:r>
      <w:r w:rsidR="00312CB2">
        <w:rPr>
          <w:rFonts w:ascii="Arial" w:hAnsi="Arial" w:cs="Arial"/>
          <w:sz w:val="22"/>
          <w:szCs w:val="22"/>
        </w:rPr>
        <w:t>18,8</w:t>
      </w:r>
      <w:r w:rsidR="007E3B77">
        <w:rPr>
          <w:rFonts w:ascii="Arial" w:hAnsi="Arial" w:cs="Arial"/>
          <w:sz w:val="22"/>
          <w:szCs w:val="22"/>
        </w:rPr>
        <w:t>%</w:t>
      </w:r>
      <w:r w:rsidR="00312CB2">
        <w:rPr>
          <w:rFonts w:ascii="Arial" w:hAnsi="Arial" w:cs="Arial"/>
          <w:sz w:val="22"/>
          <w:szCs w:val="22"/>
        </w:rPr>
        <w:t xml:space="preserve"> και</w:t>
      </w:r>
      <w:r w:rsidR="008A20A0">
        <w:rPr>
          <w:rFonts w:ascii="Arial" w:hAnsi="Arial" w:cs="Arial"/>
          <w:sz w:val="22"/>
          <w:szCs w:val="22"/>
        </w:rPr>
        <w:t xml:space="preserve"> </w:t>
      </w:r>
      <w:r w:rsidR="00B95ACB">
        <w:rPr>
          <w:rFonts w:ascii="Arial" w:hAnsi="Arial" w:cs="Arial"/>
          <w:sz w:val="22"/>
          <w:szCs w:val="22"/>
        </w:rPr>
        <w:t xml:space="preserve">διαμορφώθηκαν </w:t>
      </w:r>
      <w:r w:rsidR="007E3B77">
        <w:rPr>
          <w:rFonts w:ascii="Arial" w:hAnsi="Arial" w:cs="Arial"/>
          <w:sz w:val="22"/>
          <w:szCs w:val="22"/>
        </w:rPr>
        <w:t xml:space="preserve">στα </w:t>
      </w:r>
      <w:r w:rsidR="00312CB2">
        <w:rPr>
          <w:rFonts w:ascii="Arial" w:hAnsi="Arial" w:cs="Arial"/>
          <w:sz w:val="22"/>
          <w:szCs w:val="22"/>
        </w:rPr>
        <w:t>332</w:t>
      </w:r>
      <w:r w:rsidR="003718A3">
        <w:rPr>
          <w:rFonts w:ascii="Arial" w:hAnsi="Arial" w:cs="Arial"/>
          <w:sz w:val="22"/>
          <w:szCs w:val="22"/>
        </w:rPr>
        <w:t>,2</w:t>
      </w:r>
      <w:r w:rsidR="00B83A3E">
        <w:rPr>
          <w:rFonts w:ascii="Arial" w:hAnsi="Arial" w:cs="Arial"/>
          <w:sz w:val="22"/>
          <w:szCs w:val="22"/>
        </w:rPr>
        <w:t xml:space="preserve"> </w:t>
      </w:r>
      <w:r w:rsidR="007E3B77">
        <w:rPr>
          <w:rFonts w:ascii="Arial" w:hAnsi="Arial" w:cs="Arial"/>
          <w:sz w:val="22"/>
          <w:szCs w:val="22"/>
        </w:rPr>
        <w:t xml:space="preserve">εκατ. </w:t>
      </w:r>
      <w:r w:rsidR="009D7766">
        <w:rPr>
          <w:rFonts w:ascii="Arial" w:hAnsi="Arial" w:cs="Arial"/>
          <w:sz w:val="22"/>
          <w:szCs w:val="22"/>
        </w:rPr>
        <w:t>ε</w:t>
      </w:r>
      <w:r w:rsidR="007E3B77">
        <w:rPr>
          <w:rFonts w:ascii="Arial" w:hAnsi="Arial" w:cs="Arial"/>
          <w:sz w:val="22"/>
          <w:szCs w:val="22"/>
        </w:rPr>
        <w:t>υρώ</w:t>
      </w:r>
      <w:r w:rsidR="009D7766">
        <w:rPr>
          <w:rFonts w:ascii="Arial" w:hAnsi="Arial" w:cs="Arial"/>
          <w:sz w:val="22"/>
          <w:szCs w:val="22"/>
        </w:rPr>
        <w:t>.</w:t>
      </w:r>
      <w:r w:rsidR="007E3B77">
        <w:rPr>
          <w:rFonts w:ascii="Arial" w:hAnsi="Arial" w:cs="Arial"/>
          <w:sz w:val="22"/>
          <w:szCs w:val="22"/>
        </w:rPr>
        <w:t xml:space="preserve"> </w:t>
      </w:r>
    </w:p>
    <w:p w14:paraId="3BF34DA2" w14:textId="3A57CB3E" w:rsidR="007E3B77" w:rsidRPr="007E3B77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Ειδικότερα, όσον αφορά τις σημαντικότερες χώρες προέλευσης ταξιδιωτών από τη ζώνη του ευρώ, οι εισπράξεις από τη Γερμανία </w:t>
      </w:r>
      <w:r w:rsidR="00AD7878">
        <w:rPr>
          <w:rFonts w:ascii="Arial" w:hAnsi="Arial" w:cs="Arial"/>
          <w:sz w:val="22"/>
          <w:szCs w:val="22"/>
        </w:rPr>
        <w:t>αυξή</w:t>
      </w:r>
      <w:r>
        <w:rPr>
          <w:rFonts w:ascii="Arial" w:hAnsi="Arial" w:cs="Arial"/>
          <w:sz w:val="22"/>
          <w:szCs w:val="22"/>
        </w:rPr>
        <w:t xml:space="preserve">θηκαν κατά </w:t>
      </w:r>
      <w:r w:rsidR="00312CB2">
        <w:rPr>
          <w:rFonts w:ascii="Arial" w:hAnsi="Arial" w:cs="Arial"/>
          <w:sz w:val="22"/>
          <w:szCs w:val="22"/>
        </w:rPr>
        <w:t>18,6</w:t>
      </w:r>
      <w:r>
        <w:rPr>
          <w:rFonts w:ascii="Arial" w:hAnsi="Arial" w:cs="Arial"/>
          <w:sz w:val="22"/>
          <w:szCs w:val="22"/>
        </w:rPr>
        <w:t xml:space="preserve">% και διαμορφώθηκαν στα </w:t>
      </w:r>
      <w:r w:rsidR="00312CB2">
        <w:rPr>
          <w:rFonts w:ascii="Arial" w:hAnsi="Arial" w:cs="Arial"/>
          <w:sz w:val="22"/>
          <w:szCs w:val="22"/>
        </w:rPr>
        <w:t>594,6</w:t>
      </w:r>
      <w:r w:rsidR="00F3444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εκατ.</w:t>
      </w:r>
      <w:r w:rsidRPr="00E741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ευρώ</w:t>
      </w:r>
      <w:r w:rsidR="00054F30">
        <w:rPr>
          <w:rFonts w:ascii="Arial" w:hAnsi="Arial" w:cs="Arial"/>
          <w:sz w:val="22"/>
          <w:szCs w:val="22"/>
        </w:rPr>
        <w:t>,</w:t>
      </w:r>
      <w:r w:rsidR="003718A3">
        <w:rPr>
          <w:rFonts w:ascii="Arial" w:hAnsi="Arial" w:cs="Arial"/>
          <w:sz w:val="22"/>
          <w:szCs w:val="22"/>
        </w:rPr>
        <w:t xml:space="preserve"> </w:t>
      </w:r>
      <w:r w:rsidR="00312CB2">
        <w:rPr>
          <w:rFonts w:ascii="Arial" w:hAnsi="Arial" w:cs="Arial"/>
          <w:sz w:val="22"/>
          <w:szCs w:val="22"/>
        </w:rPr>
        <w:t>όπω</w:t>
      </w:r>
      <w:r w:rsidR="00423A5A">
        <w:rPr>
          <w:rFonts w:ascii="Arial" w:hAnsi="Arial" w:cs="Arial"/>
          <w:sz w:val="22"/>
          <w:szCs w:val="22"/>
        </w:rPr>
        <w:t xml:space="preserve">ς </w:t>
      </w:r>
      <w:r w:rsidR="003718A3">
        <w:rPr>
          <w:rFonts w:ascii="Arial" w:hAnsi="Arial" w:cs="Arial"/>
          <w:sz w:val="22"/>
          <w:szCs w:val="22"/>
        </w:rPr>
        <w:t>και</w:t>
      </w:r>
      <w:r w:rsidR="00C76B3B">
        <w:rPr>
          <w:rFonts w:ascii="Arial" w:hAnsi="Arial" w:cs="Arial"/>
          <w:sz w:val="22"/>
          <w:szCs w:val="22"/>
        </w:rPr>
        <w:t xml:space="preserve"> </w:t>
      </w:r>
      <w:r w:rsidR="003718A3">
        <w:rPr>
          <w:rFonts w:ascii="Arial" w:hAnsi="Arial" w:cs="Arial"/>
          <w:sz w:val="22"/>
          <w:szCs w:val="22"/>
        </w:rPr>
        <w:t>ο</w:t>
      </w:r>
      <w:r w:rsidR="00C76B3B">
        <w:rPr>
          <w:rFonts w:ascii="Arial" w:hAnsi="Arial" w:cs="Arial"/>
          <w:sz w:val="22"/>
          <w:szCs w:val="22"/>
        </w:rPr>
        <w:t>ι</w:t>
      </w:r>
      <w:r>
        <w:rPr>
          <w:rFonts w:ascii="Arial" w:hAnsi="Arial" w:cs="Arial"/>
          <w:sz w:val="22"/>
          <w:szCs w:val="22"/>
        </w:rPr>
        <w:t xml:space="preserve"> εισπράξεις από</w:t>
      </w:r>
      <w:r w:rsidRPr="006E66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τη Γαλλία</w:t>
      </w:r>
      <w:r w:rsidR="005A6AC2" w:rsidRPr="000C7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312CB2">
        <w:rPr>
          <w:rFonts w:ascii="Arial" w:hAnsi="Arial" w:cs="Arial"/>
          <w:sz w:val="22"/>
          <w:szCs w:val="22"/>
        </w:rPr>
        <w:t>1</w:t>
      </w:r>
      <w:r w:rsidR="003718A3">
        <w:rPr>
          <w:rFonts w:ascii="Arial" w:hAnsi="Arial" w:cs="Arial"/>
          <w:sz w:val="22"/>
          <w:szCs w:val="22"/>
        </w:rPr>
        <w:t>9,9</w:t>
      </w:r>
      <w:r>
        <w:rPr>
          <w:rFonts w:ascii="Arial" w:hAnsi="Arial" w:cs="Arial"/>
          <w:sz w:val="22"/>
          <w:szCs w:val="22"/>
        </w:rPr>
        <w:t>%</w:t>
      </w:r>
      <w:r w:rsidR="00EB07C3" w:rsidRPr="00534A5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12CB2">
        <w:rPr>
          <w:rFonts w:ascii="Arial" w:hAnsi="Arial" w:cs="Arial"/>
          <w:sz w:val="22"/>
          <w:szCs w:val="22"/>
        </w:rPr>
        <w:t>οι οποίες</w:t>
      </w:r>
      <w:r>
        <w:rPr>
          <w:rFonts w:ascii="Arial" w:hAnsi="Arial" w:cs="Arial"/>
          <w:sz w:val="22"/>
          <w:szCs w:val="22"/>
        </w:rPr>
        <w:t xml:space="preserve"> διαμορφώθηκαν στα </w:t>
      </w:r>
      <w:r w:rsidR="00312CB2">
        <w:rPr>
          <w:rFonts w:ascii="Arial" w:hAnsi="Arial" w:cs="Arial"/>
          <w:sz w:val="22"/>
          <w:szCs w:val="22"/>
        </w:rPr>
        <w:t>192,0</w:t>
      </w:r>
      <w:r>
        <w:rPr>
          <w:rFonts w:ascii="Arial" w:hAnsi="Arial" w:cs="Arial"/>
          <w:sz w:val="22"/>
          <w:szCs w:val="22"/>
        </w:rPr>
        <w:t xml:space="preserve"> εκατ. ευρώ</w:t>
      </w:r>
      <w:r w:rsidR="003718A3">
        <w:rPr>
          <w:rFonts w:ascii="Arial" w:hAnsi="Arial" w:cs="Arial"/>
          <w:sz w:val="22"/>
          <w:szCs w:val="22"/>
        </w:rPr>
        <w:t>.</w:t>
      </w:r>
      <w:r w:rsidR="00C76B3B">
        <w:rPr>
          <w:rFonts w:ascii="Arial" w:hAnsi="Arial" w:cs="Arial"/>
          <w:sz w:val="22"/>
          <w:szCs w:val="22"/>
        </w:rPr>
        <w:t xml:space="preserve"> </w:t>
      </w:r>
      <w:r w:rsidR="003718A3">
        <w:rPr>
          <w:rFonts w:ascii="Arial" w:hAnsi="Arial" w:cs="Arial"/>
          <w:sz w:val="22"/>
          <w:szCs w:val="22"/>
        </w:rPr>
        <w:t>Άνοδο</w:t>
      </w:r>
      <w:r w:rsidR="00BD595C">
        <w:rPr>
          <w:rFonts w:ascii="Arial" w:hAnsi="Arial" w:cs="Arial"/>
          <w:sz w:val="22"/>
          <w:szCs w:val="22"/>
        </w:rPr>
        <w:t xml:space="preserve"> κατά </w:t>
      </w:r>
      <w:r w:rsidR="00312CB2">
        <w:rPr>
          <w:rFonts w:ascii="Arial" w:hAnsi="Arial" w:cs="Arial"/>
          <w:sz w:val="22"/>
          <w:szCs w:val="22"/>
        </w:rPr>
        <w:t>25,7</w:t>
      </w:r>
      <w:r w:rsidR="00BD595C">
        <w:rPr>
          <w:rFonts w:ascii="Arial" w:hAnsi="Arial" w:cs="Arial"/>
          <w:sz w:val="22"/>
          <w:szCs w:val="22"/>
        </w:rPr>
        <w:t>%</w:t>
      </w:r>
      <w:r w:rsidR="00BD595C" w:rsidRPr="0045118C">
        <w:rPr>
          <w:rFonts w:ascii="Arial" w:hAnsi="Arial" w:cs="Arial"/>
          <w:sz w:val="22"/>
          <w:szCs w:val="22"/>
        </w:rPr>
        <w:t xml:space="preserve"> </w:t>
      </w:r>
      <w:r w:rsidR="00BD595C">
        <w:rPr>
          <w:rFonts w:ascii="Arial" w:hAnsi="Arial" w:cs="Arial"/>
          <w:sz w:val="22"/>
          <w:szCs w:val="22"/>
        </w:rPr>
        <w:t xml:space="preserve">παρουσίασαν </w:t>
      </w:r>
      <w:r w:rsidR="00C76B3B">
        <w:rPr>
          <w:rFonts w:ascii="Arial" w:hAnsi="Arial" w:cs="Arial"/>
          <w:sz w:val="22"/>
          <w:szCs w:val="22"/>
        </w:rPr>
        <w:t xml:space="preserve">και </w:t>
      </w:r>
      <w:r w:rsidR="00BD595C">
        <w:rPr>
          <w:rFonts w:ascii="Arial" w:hAnsi="Arial" w:cs="Arial"/>
          <w:sz w:val="22"/>
          <w:szCs w:val="22"/>
        </w:rPr>
        <w:t>οι</w:t>
      </w:r>
      <w:r w:rsidR="00BD595C" w:rsidRPr="0045118C">
        <w:rPr>
          <w:rFonts w:ascii="Arial" w:hAnsi="Arial" w:cs="Arial"/>
          <w:sz w:val="22"/>
          <w:szCs w:val="22"/>
        </w:rPr>
        <w:t xml:space="preserve"> εισπράξεις από </w:t>
      </w:r>
      <w:r w:rsidR="00BD595C">
        <w:rPr>
          <w:rFonts w:ascii="Arial" w:hAnsi="Arial" w:cs="Arial"/>
          <w:sz w:val="22"/>
          <w:szCs w:val="22"/>
        </w:rPr>
        <w:t>την</w:t>
      </w:r>
      <w:r w:rsidR="00BD595C" w:rsidRPr="0045118C">
        <w:rPr>
          <w:rFonts w:ascii="Arial" w:hAnsi="Arial" w:cs="Arial"/>
          <w:sz w:val="22"/>
          <w:szCs w:val="22"/>
        </w:rPr>
        <w:t xml:space="preserve"> Ιταλία</w:t>
      </w:r>
      <w:r w:rsidR="00BD595C">
        <w:rPr>
          <w:rFonts w:ascii="Arial" w:hAnsi="Arial" w:cs="Arial"/>
          <w:sz w:val="22"/>
          <w:szCs w:val="22"/>
        </w:rPr>
        <w:t xml:space="preserve">, </w:t>
      </w:r>
      <w:r w:rsidR="00BD595C" w:rsidRPr="0045118C">
        <w:rPr>
          <w:rFonts w:ascii="Arial" w:hAnsi="Arial" w:cs="Arial"/>
          <w:sz w:val="22"/>
          <w:szCs w:val="22"/>
        </w:rPr>
        <w:t xml:space="preserve">στα </w:t>
      </w:r>
      <w:r w:rsidR="00312CB2">
        <w:rPr>
          <w:rFonts w:ascii="Arial" w:hAnsi="Arial" w:cs="Arial"/>
          <w:sz w:val="22"/>
          <w:szCs w:val="22"/>
        </w:rPr>
        <w:t>180,0</w:t>
      </w:r>
      <w:r w:rsidR="00BD595C" w:rsidRPr="0045118C">
        <w:rPr>
          <w:rFonts w:ascii="Arial" w:hAnsi="Arial" w:cs="Arial"/>
          <w:sz w:val="22"/>
          <w:szCs w:val="22"/>
        </w:rPr>
        <w:t xml:space="preserve"> εκατ. ευρώ</w:t>
      </w:r>
      <w:r w:rsidR="00F4263A">
        <w:rPr>
          <w:rFonts w:ascii="Arial" w:hAnsi="Arial" w:cs="Arial"/>
          <w:sz w:val="22"/>
          <w:szCs w:val="22"/>
        </w:rPr>
        <w:t>.</w:t>
      </w:r>
      <w:r w:rsidR="00BD59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Από τις </w:t>
      </w:r>
      <w:r w:rsidR="00B95ACB">
        <w:rPr>
          <w:rFonts w:ascii="Arial" w:hAnsi="Arial" w:cs="Arial"/>
          <w:sz w:val="22"/>
          <w:szCs w:val="22"/>
        </w:rPr>
        <w:t xml:space="preserve">λοιπές </w:t>
      </w:r>
      <w:r>
        <w:rPr>
          <w:rFonts w:ascii="Arial" w:hAnsi="Arial" w:cs="Arial"/>
          <w:sz w:val="22"/>
          <w:szCs w:val="22"/>
        </w:rPr>
        <w:t xml:space="preserve">χώρες, </w:t>
      </w:r>
      <w:r w:rsidR="0069418C">
        <w:rPr>
          <w:rFonts w:ascii="Arial" w:hAnsi="Arial" w:cs="Arial"/>
          <w:sz w:val="22"/>
          <w:szCs w:val="22"/>
        </w:rPr>
        <w:t xml:space="preserve">αύξηση </w:t>
      </w:r>
      <w:r>
        <w:rPr>
          <w:rFonts w:ascii="Arial" w:hAnsi="Arial" w:cs="Arial"/>
          <w:sz w:val="22"/>
          <w:szCs w:val="22"/>
        </w:rPr>
        <w:t xml:space="preserve">κατά </w:t>
      </w:r>
      <w:r w:rsidR="00312CB2">
        <w:rPr>
          <w:rFonts w:ascii="Arial" w:hAnsi="Arial" w:cs="Arial"/>
          <w:sz w:val="22"/>
          <w:szCs w:val="22"/>
        </w:rPr>
        <w:t>3,0</w:t>
      </w:r>
      <w:r>
        <w:rPr>
          <w:rFonts w:ascii="Arial" w:hAnsi="Arial" w:cs="Arial"/>
          <w:sz w:val="22"/>
          <w:szCs w:val="22"/>
        </w:rPr>
        <w:t xml:space="preserve">% παρουσίασαν οι εισπράξεις από το Ηνωμένο Βασίλειο, οι οποίες διαμορφώθηκαν στα </w:t>
      </w:r>
      <w:r w:rsidR="00312CB2">
        <w:rPr>
          <w:rFonts w:ascii="Arial" w:hAnsi="Arial" w:cs="Arial"/>
          <w:sz w:val="22"/>
          <w:szCs w:val="22"/>
        </w:rPr>
        <w:t>601,2</w:t>
      </w:r>
      <w:r>
        <w:rPr>
          <w:rFonts w:ascii="Arial" w:hAnsi="Arial" w:cs="Arial"/>
          <w:sz w:val="22"/>
          <w:szCs w:val="22"/>
        </w:rPr>
        <w:t xml:space="preserve"> εκατ. ευρώ, </w:t>
      </w:r>
      <w:r w:rsidR="00312CB2">
        <w:rPr>
          <w:rFonts w:ascii="Arial" w:hAnsi="Arial" w:cs="Arial"/>
          <w:sz w:val="22"/>
          <w:szCs w:val="22"/>
        </w:rPr>
        <w:t xml:space="preserve">όπως και </w:t>
      </w:r>
      <w:r w:rsidR="003718A3">
        <w:rPr>
          <w:rFonts w:ascii="Arial" w:hAnsi="Arial" w:cs="Arial"/>
          <w:sz w:val="22"/>
          <w:szCs w:val="22"/>
        </w:rPr>
        <w:t xml:space="preserve">οι εισπράξεις </w:t>
      </w:r>
      <w:r>
        <w:rPr>
          <w:rFonts w:ascii="Arial" w:hAnsi="Arial" w:cs="Arial"/>
          <w:sz w:val="22"/>
          <w:szCs w:val="22"/>
        </w:rPr>
        <w:t>από τις ΗΠΑ</w:t>
      </w:r>
      <w:r w:rsidR="009E51ED" w:rsidRPr="00D22E63">
        <w:rPr>
          <w:rFonts w:ascii="Arial" w:hAnsi="Arial" w:cs="Arial"/>
          <w:sz w:val="22"/>
          <w:szCs w:val="22"/>
        </w:rPr>
        <w:t xml:space="preserve">, </w:t>
      </w:r>
      <w:r w:rsidR="009E51ED">
        <w:rPr>
          <w:rFonts w:ascii="Arial" w:hAnsi="Arial" w:cs="Arial"/>
          <w:sz w:val="22"/>
          <w:szCs w:val="22"/>
        </w:rPr>
        <w:t>οι οποίες</w:t>
      </w:r>
      <w:r w:rsidR="003718A3">
        <w:rPr>
          <w:rFonts w:ascii="Arial" w:hAnsi="Arial" w:cs="Arial"/>
          <w:sz w:val="22"/>
          <w:szCs w:val="22"/>
        </w:rPr>
        <w:t xml:space="preserve"> </w:t>
      </w:r>
      <w:r w:rsidR="00312CB2">
        <w:rPr>
          <w:rFonts w:ascii="Arial" w:hAnsi="Arial" w:cs="Arial"/>
          <w:sz w:val="22"/>
          <w:szCs w:val="22"/>
        </w:rPr>
        <w:t xml:space="preserve">ενισχύθηκαν </w:t>
      </w:r>
      <w:r>
        <w:rPr>
          <w:rFonts w:ascii="Arial" w:hAnsi="Arial" w:cs="Arial"/>
          <w:sz w:val="22"/>
          <w:szCs w:val="22"/>
        </w:rPr>
        <w:t xml:space="preserve">κατά </w:t>
      </w:r>
      <w:r w:rsidR="00312CB2">
        <w:rPr>
          <w:rFonts w:ascii="Arial" w:hAnsi="Arial" w:cs="Arial"/>
          <w:sz w:val="22"/>
          <w:szCs w:val="22"/>
        </w:rPr>
        <w:t>64,7</w:t>
      </w:r>
      <w:r>
        <w:rPr>
          <w:rFonts w:ascii="Arial" w:hAnsi="Arial" w:cs="Arial"/>
          <w:sz w:val="22"/>
          <w:szCs w:val="22"/>
        </w:rPr>
        <w:t xml:space="preserve">% </w:t>
      </w:r>
      <w:r w:rsidR="002F48E1">
        <w:rPr>
          <w:rFonts w:ascii="Arial" w:hAnsi="Arial" w:cs="Arial"/>
          <w:sz w:val="22"/>
          <w:szCs w:val="22"/>
        </w:rPr>
        <w:t xml:space="preserve">και διαμορφώθηκαν </w:t>
      </w:r>
      <w:r>
        <w:rPr>
          <w:rFonts w:ascii="Arial" w:hAnsi="Arial" w:cs="Arial"/>
          <w:sz w:val="22"/>
          <w:szCs w:val="22"/>
        </w:rPr>
        <w:t xml:space="preserve">στα </w:t>
      </w:r>
      <w:r w:rsidR="00312CB2">
        <w:rPr>
          <w:rFonts w:ascii="Arial" w:hAnsi="Arial" w:cs="Arial"/>
          <w:sz w:val="22"/>
          <w:szCs w:val="22"/>
        </w:rPr>
        <w:t>247,3</w:t>
      </w:r>
      <w:r>
        <w:rPr>
          <w:rFonts w:ascii="Arial" w:hAnsi="Arial" w:cs="Arial"/>
          <w:sz w:val="22"/>
          <w:szCs w:val="22"/>
        </w:rPr>
        <w:t xml:space="preserve"> εκατ. ευρώ. Τέλος, </w:t>
      </w:r>
      <w:r w:rsidR="00742EC1">
        <w:rPr>
          <w:rFonts w:ascii="Arial" w:hAnsi="Arial" w:cs="Arial"/>
          <w:sz w:val="22"/>
          <w:szCs w:val="22"/>
        </w:rPr>
        <w:t>οι</w:t>
      </w:r>
      <w:r>
        <w:rPr>
          <w:rFonts w:ascii="Arial" w:hAnsi="Arial" w:cs="Arial"/>
          <w:sz w:val="22"/>
          <w:szCs w:val="22"/>
        </w:rPr>
        <w:t xml:space="preserve"> εισπράξεις από τη Ρωσία</w:t>
      </w:r>
      <w:r w:rsidR="00BF3D82">
        <w:rPr>
          <w:rFonts w:ascii="Arial" w:hAnsi="Arial" w:cs="Arial"/>
          <w:sz w:val="22"/>
          <w:szCs w:val="22"/>
        </w:rPr>
        <w:t xml:space="preserve"> μειώθηκαν</w:t>
      </w:r>
      <w:r w:rsidR="00742EC1">
        <w:rPr>
          <w:rFonts w:ascii="Arial" w:hAnsi="Arial" w:cs="Arial"/>
          <w:sz w:val="22"/>
          <w:szCs w:val="22"/>
        </w:rPr>
        <w:t xml:space="preserve"> στα </w:t>
      </w:r>
      <w:r w:rsidR="00312CB2">
        <w:rPr>
          <w:rFonts w:ascii="Arial" w:hAnsi="Arial" w:cs="Arial"/>
          <w:sz w:val="22"/>
          <w:szCs w:val="22"/>
        </w:rPr>
        <w:t>1,8</w:t>
      </w:r>
      <w:r w:rsidR="00742EC1">
        <w:rPr>
          <w:rFonts w:ascii="Arial" w:hAnsi="Arial" w:cs="Arial"/>
          <w:sz w:val="22"/>
          <w:szCs w:val="22"/>
        </w:rPr>
        <w:t xml:space="preserve"> εκατ. ευρώ</w:t>
      </w:r>
      <w:r>
        <w:rPr>
          <w:rFonts w:ascii="Arial" w:hAnsi="Arial" w:cs="Arial"/>
          <w:sz w:val="22"/>
          <w:szCs w:val="22"/>
        </w:rPr>
        <w:t>.</w:t>
      </w:r>
    </w:p>
    <w:p w14:paraId="49B835DA" w14:textId="6C593D34" w:rsidR="00B83A3E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περίοδο </w:t>
      </w:r>
      <w:r w:rsidR="00DE5A38">
        <w:rPr>
          <w:rFonts w:ascii="Arial" w:hAnsi="Arial" w:cs="Arial"/>
          <w:sz w:val="22"/>
          <w:szCs w:val="22"/>
          <w:u w:val="single"/>
        </w:rPr>
        <w:t>Ιανουαρίου-</w:t>
      </w:r>
      <w:r w:rsidR="00CE0083">
        <w:rPr>
          <w:rFonts w:ascii="Arial" w:hAnsi="Arial" w:cs="Arial"/>
          <w:sz w:val="22"/>
          <w:szCs w:val="22"/>
          <w:u w:val="single"/>
        </w:rPr>
        <w:t>Ιουνίου</w:t>
      </w:r>
      <w:r w:rsidR="00DE5A38">
        <w:rPr>
          <w:rFonts w:ascii="Arial" w:hAnsi="Arial" w:cs="Arial"/>
          <w:sz w:val="22"/>
          <w:szCs w:val="22"/>
          <w:u w:val="single"/>
        </w:rPr>
        <w:t xml:space="preserve"> </w:t>
      </w:r>
      <w:r w:rsidR="0044335A">
        <w:rPr>
          <w:rFonts w:ascii="Arial" w:hAnsi="Arial" w:cs="Arial"/>
          <w:sz w:val="22"/>
          <w:szCs w:val="22"/>
          <w:u w:val="single"/>
        </w:rPr>
        <w:t>2025</w:t>
      </w:r>
      <w:r w:rsidR="006E570F" w:rsidRPr="006E570F">
        <w:rPr>
          <w:rFonts w:ascii="Arial" w:hAnsi="Arial" w:cs="Arial"/>
          <w:sz w:val="22"/>
          <w:szCs w:val="22"/>
          <w:u w:val="single"/>
        </w:rPr>
        <w:t>,</w:t>
      </w:r>
      <w:r w:rsidRPr="00BF10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οι ταξιδιωτικές εισπράξεις </w:t>
      </w:r>
      <w:r w:rsidR="00CF2B7B">
        <w:rPr>
          <w:rFonts w:ascii="Arial" w:hAnsi="Arial" w:cs="Arial"/>
          <w:sz w:val="22"/>
          <w:szCs w:val="22"/>
        </w:rPr>
        <w:t>κατέγραψαν άνοδο</w:t>
      </w:r>
      <w:r>
        <w:rPr>
          <w:rFonts w:ascii="Arial" w:hAnsi="Arial" w:cs="Arial"/>
          <w:sz w:val="22"/>
          <w:szCs w:val="22"/>
        </w:rPr>
        <w:t xml:space="preserve"> κατά </w:t>
      </w:r>
      <w:r w:rsidR="00DD22CE">
        <w:rPr>
          <w:rFonts w:ascii="Arial" w:hAnsi="Arial" w:cs="Arial"/>
          <w:sz w:val="22"/>
          <w:szCs w:val="22"/>
        </w:rPr>
        <w:t>11,0</w:t>
      </w:r>
      <w:r>
        <w:rPr>
          <w:rFonts w:ascii="Arial" w:hAnsi="Arial" w:cs="Arial"/>
          <w:sz w:val="22"/>
          <w:szCs w:val="22"/>
        </w:rPr>
        <w:t xml:space="preserve">% σε σύγκριση με την αντίστοιχη περίοδο του </w:t>
      </w:r>
      <w:r w:rsidR="0044335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και διαμορφώθηκαν στα </w:t>
      </w:r>
      <w:r w:rsidR="00DD22CE">
        <w:rPr>
          <w:rFonts w:ascii="Arial" w:hAnsi="Arial" w:cs="Arial"/>
          <w:sz w:val="22"/>
          <w:szCs w:val="22"/>
        </w:rPr>
        <w:t>7.658,9</w:t>
      </w:r>
      <w:r w:rsidR="00101E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εκατ. ευρώ. Η εξέλιξη αυτή οφείλεται </w:t>
      </w:r>
      <w:r w:rsidR="00FF75A6">
        <w:rPr>
          <w:rFonts w:ascii="Arial" w:hAnsi="Arial" w:cs="Arial"/>
          <w:sz w:val="22"/>
          <w:szCs w:val="22"/>
        </w:rPr>
        <w:t xml:space="preserve">τόσο </w:t>
      </w:r>
      <w:r>
        <w:rPr>
          <w:rFonts w:ascii="Arial" w:hAnsi="Arial" w:cs="Arial"/>
          <w:sz w:val="22"/>
          <w:szCs w:val="22"/>
        </w:rPr>
        <w:t xml:space="preserve">στην αύξηση των εισπράξεων από κατοίκους </w:t>
      </w:r>
      <w:r w:rsidR="004E6D7F">
        <w:rPr>
          <w:rFonts w:ascii="Arial" w:hAnsi="Arial" w:cs="Arial"/>
          <w:sz w:val="22"/>
          <w:szCs w:val="22"/>
        </w:rPr>
        <w:t>των χωρών</w:t>
      </w:r>
      <w:r w:rsidR="004E6D7F" w:rsidRPr="00CF2B7B">
        <w:rPr>
          <w:rFonts w:ascii="Arial" w:hAnsi="Arial" w:cs="Arial"/>
          <w:sz w:val="22"/>
          <w:szCs w:val="22"/>
        </w:rPr>
        <w:t xml:space="preserve"> </w:t>
      </w:r>
      <w:r w:rsidR="004E6D7F">
        <w:rPr>
          <w:rFonts w:ascii="Arial" w:hAnsi="Arial" w:cs="Arial"/>
          <w:sz w:val="22"/>
          <w:szCs w:val="22"/>
        </w:rPr>
        <w:t xml:space="preserve">της ΕΕ-27 </w:t>
      </w:r>
      <w:r w:rsidR="00101E36">
        <w:rPr>
          <w:rFonts w:ascii="Arial" w:hAnsi="Arial" w:cs="Arial"/>
          <w:sz w:val="22"/>
          <w:szCs w:val="22"/>
        </w:rPr>
        <w:t xml:space="preserve">κατά </w:t>
      </w:r>
      <w:r w:rsidR="00DD22CE">
        <w:rPr>
          <w:rFonts w:ascii="Arial" w:hAnsi="Arial" w:cs="Arial"/>
          <w:sz w:val="22"/>
          <w:szCs w:val="22"/>
        </w:rPr>
        <w:t>8,5</w:t>
      </w:r>
      <w:r w:rsidR="00101E36">
        <w:rPr>
          <w:rFonts w:ascii="Arial" w:hAnsi="Arial" w:cs="Arial"/>
          <w:sz w:val="22"/>
          <w:szCs w:val="22"/>
        </w:rPr>
        <w:t xml:space="preserve">%, οι οποίες διαμορφώθηκαν στα </w:t>
      </w:r>
      <w:r w:rsidR="00DD22CE">
        <w:rPr>
          <w:rFonts w:ascii="Arial" w:hAnsi="Arial" w:cs="Arial"/>
          <w:sz w:val="22"/>
          <w:szCs w:val="22"/>
        </w:rPr>
        <w:t>4.069,8</w:t>
      </w:r>
      <w:r w:rsidR="00101E36">
        <w:rPr>
          <w:rFonts w:ascii="Arial" w:hAnsi="Arial" w:cs="Arial"/>
          <w:sz w:val="22"/>
          <w:szCs w:val="22"/>
        </w:rPr>
        <w:t xml:space="preserve"> εκατ. ευρώ</w:t>
      </w:r>
      <w:r w:rsidR="00D5630E">
        <w:rPr>
          <w:rFonts w:ascii="Arial" w:hAnsi="Arial" w:cs="Arial"/>
          <w:sz w:val="22"/>
          <w:szCs w:val="22"/>
        </w:rPr>
        <w:t>,</w:t>
      </w:r>
      <w:r w:rsidR="00101E36">
        <w:rPr>
          <w:rFonts w:ascii="Arial" w:hAnsi="Arial" w:cs="Arial"/>
          <w:sz w:val="22"/>
          <w:szCs w:val="22"/>
        </w:rPr>
        <w:t xml:space="preserve"> </w:t>
      </w:r>
      <w:r w:rsidR="00FF75A6">
        <w:rPr>
          <w:rFonts w:ascii="Arial" w:hAnsi="Arial" w:cs="Arial"/>
          <w:sz w:val="22"/>
          <w:szCs w:val="22"/>
        </w:rPr>
        <w:t xml:space="preserve">όσο </w:t>
      </w:r>
      <w:r w:rsidR="004E6D7F">
        <w:rPr>
          <w:rFonts w:ascii="Arial" w:hAnsi="Arial" w:cs="Arial"/>
          <w:sz w:val="22"/>
          <w:szCs w:val="22"/>
        </w:rPr>
        <w:t>και</w:t>
      </w:r>
      <w:r w:rsidR="00101E36">
        <w:rPr>
          <w:rFonts w:ascii="Arial" w:hAnsi="Arial" w:cs="Arial"/>
          <w:sz w:val="22"/>
          <w:szCs w:val="22"/>
        </w:rPr>
        <w:t xml:space="preserve"> </w:t>
      </w:r>
      <w:r w:rsidR="008844F1">
        <w:rPr>
          <w:rFonts w:ascii="Arial" w:hAnsi="Arial" w:cs="Arial"/>
          <w:sz w:val="22"/>
          <w:szCs w:val="22"/>
        </w:rPr>
        <w:t xml:space="preserve">στην </w:t>
      </w:r>
      <w:r w:rsidR="0069418C">
        <w:rPr>
          <w:rFonts w:ascii="Arial" w:hAnsi="Arial" w:cs="Arial"/>
          <w:sz w:val="22"/>
          <w:szCs w:val="22"/>
        </w:rPr>
        <w:t xml:space="preserve">άνοδο </w:t>
      </w:r>
      <w:r w:rsidR="008844F1">
        <w:rPr>
          <w:rFonts w:ascii="Arial" w:hAnsi="Arial" w:cs="Arial"/>
          <w:sz w:val="22"/>
          <w:szCs w:val="22"/>
        </w:rPr>
        <w:t xml:space="preserve">των εισπράξεων </w:t>
      </w:r>
      <w:r w:rsidR="00101E36">
        <w:rPr>
          <w:rFonts w:ascii="Arial" w:hAnsi="Arial" w:cs="Arial"/>
          <w:sz w:val="22"/>
          <w:szCs w:val="22"/>
        </w:rPr>
        <w:t xml:space="preserve">από κατοίκους </w:t>
      </w:r>
      <w:r w:rsidR="004E6D7F">
        <w:rPr>
          <w:rFonts w:ascii="Arial" w:hAnsi="Arial" w:cs="Arial"/>
          <w:sz w:val="22"/>
          <w:szCs w:val="22"/>
        </w:rPr>
        <w:t xml:space="preserve">των λοιπών χωρών </w:t>
      </w:r>
      <w:r>
        <w:rPr>
          <w:rFonts w:ascii="Arial" w:hAnsi="Arial" w:cs="Arial"/>
          <w:sz w:val="22"/>
          <w:szCs w:val="22"/>
        </w:rPr>
        <w:t xml:space="preserve">κατά </w:t>
      </w:r>
      <w:r w:rsidR="00DD22CE">
        <w:rPr>
          <w:rFonts w:ascii="Arial" w:hAnsi="Arial" w:cs="Arial"/>
          <w:sz w:val="22"/>
          <w:szCs w:val="22"/>
        </w:rPr>
        <w:t>13,7</w:t>
      </w:r>
      <w:r>
        <w:rPr>
          <w:rFonts w:ascii="Arial" w:hAnsi="Arial" w:cs="Arial"/>
          <w:sz w:val="22"/>
          <w:szCs w:val="22"/>
        </w:rPr>
        <w:t>%</w:t>
      </w:r>
      <w:r w:rsidR="0069418C">
        <w:rPr>
          <w:rFonts w:ascii="Arial" w:hAnsi="Arial" w:cs="Arial"/>
          <w:sz w:val="22"/>
          <w:szCs w:val="22"/>
        </w:rPr>
        <w:t xml:space="preserve">, </w:t>
      </w:r>
      <w:r w:rsidR="00FF75A6">
        <w:rPr>
          <w:rFonts w:ascii="Arial" w:hAnsi="Arial" w:cs="Arial"/>
          <w:sz w:val="22"/>
          <w:szCs w:val="22"/>
        </w:rPr>
        <w:t>οι οποίες</w:t>
      </w:r>
      <w:r w:rsidR="0069418C">
        <w:rPr>
          <w:rFonts w:ascii="Arial" w:hAnsi="Arial" w:cs="Arial"/>
          <w:sz w:val="22"/>
          <w:szCs w:val="22"/>
        </w:rPr>
        <w:t xml:space="preserve"> διαμορφώθηκαν</w:t>
      </w:r>
      <w:r w:rsidR="00101E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στα </w:t>
      </w:r>
      <w:r w:rsidR="00DD22CE">
        <w:rPr>
          <w:rFonts w:ascii="Arial" w:hAnsi="Arial" w:cs="Arial"/>
          <w:sz w:val="22"/>
          <w:szCs w:val="22"/>
        </w:rPr>
        <w:t>3.210,5</w:t>
      </w:r>
      <w:r w:rsidR="00F3444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εκατ. ευρώ. Αναλυτικότερα, οι εισπράξεις από κατοίκους των χωρών της ζώνης του ευρώ διαμορφώθηκαν στα </w:t>
      </w:r>
      <w:r w:rsidR="00DD22CE">
        <w:rPr>
          <w:rFonts w:ascii="Arial" w:hAnsi="Arial" w:cs="Arial"/>
          <w:sz w:val="22"/>
          <w:szCs w:val="22"/>
        </w:rPr>
        <w:t>3.290,6</w:t>
      </w:r>
      <w:r>
        <w:rPr>
          <w:rFonts w:ascii="Arial" w:hAnsi="Arial" w:cs="Arial"/>
          <w:sz w:val="22"/>
          <w:szCs w:val="22"/>
        </w:rPr>
        <w:t xml:space="preserve"> εκατ. ευρώ, </w:t>
      </w:r>
      <w:r w:rsidR="008844F1">
        <w:rPr>
          <w:rFonts w:ascii="Arial" w:hAnsi="Arial" w:cs="Arial"/>
          <w:sz w:val="22"/>
          <w:szCs w:val="22"/>
        </w:rPr>
        <w:t>αυξη</w:t>
      </w:r>
      <w:r>
        <w:rPr>
          <w:rFonts w:ascii="Arial" w:hAnsi="Arial" w:cs="Arial"/>
          <w:sz w:val="22"/>
          <w:szCs w:val="22"/>
        </w:rPr>
        <w:t xml:space="preserve">μένες κατά </w:t>
      </w:r>
      <w:r w:rsidR="00DD22CE">
        <w:rPr>
          <w:rFonts w:ascii="Arial" w:hAnsi="Arial" w:cs="Arial"/>
          <w:sz w:val="22"/>
          <w:szCs w:val="22"/>
        </w:rPr>
        <w:t>7,7</w:t>
      </w:r>
      <w:r>
        <w:rPr>
          <w:rFonts w:ascii="Arial" w:hAnsi="Arial" w:cs="Arial"/>
          <w:sz w:val="22"/>
          <w:szCs w:val="22"/>
        </w:rPr>
        <w:t xml:space="preserve">%, ενώ οι εισπράξεις από κατοίκους των χωρών της ΕΕ-27 εκτός της ζώνης του ευρώ </w:t>
      </w:r>
      <w:r w:rsidR="00742EC1">
        <w:rPr>
          <w:rFonts w:ascii="Arial" w:hAnsi="Arial" w:cs="Arial"/>
          <w:sz w:val="22"/>
          <w:szCs w:val="22"/>
        </w:rPr>
        <w:t>αυξήθηκαν</w:t>
      </w:r>
      <w:r>
        <w:rPr>
          <w:rFonts w:ascii="Arial" w:hAnsi="Arial" w:cs="Arial"/>
          <w:sz w:val="22"/>
          <w:szCs w:val="22"/>
        </w:rPr>
        <w:t xml:space="preserve"> κατά </w:t>
      </w:r>
      <w:r w:rsidR="00DD22CE">
        <w:rPr>
          <w:rFonts w:ascii="Arial" w:hAnsi="Arial" w:cs="Arial"/>
          <w:sz w:val="22"/>
          <w:szCs w:val="22"/>
        </w:rPr>
        <w:t>12,4</w:t>
      </w:r>
      <w:r>
        <w:rPr>
          <w:rFonts w:ascii="Arial" w:hAnsi="Arial" w:cs="Arial"/>
          <w:sz w:val="22"/>
          <w:szCs w:val="22"/>
        </w:rPr>
        <w:t xml:space="preserve">% και διαμορφώθηκαν στα </w:t>
      </w:r>
      <w:r w:rsidR="00DD22CE">
        <w:rPr>
          <w:rFonts w:ascii="Arial" w:hAnsi="Arial" w:cs="Arial"/>
          <w:sz w:val="22"/>
          <w:szCs w:val="22"/>
        </w:rPr>
        <w:t>779,1</w:t>
      </w:r>
      <w:r>
        <w:rPr>
          <w:rFonts w:ascii="Arial" w:hAnsi="Arial" w:cs="Arial"/>
          <w:sz w:val="22"/>
          <w:szCs w:val="22"/>
        </w:rPr>
        <w:t xml:space="preserve"> εκατ. ευρώ. </w:t>
      </w:r>
    </w:p>
    <w:p w14:paraId="7FF622D4" w14:textId="15964E4D" w:rsidR="007E3B77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Ειδικότερα, οι εισπράξεις από τη Γερμανία </w:t>
      </w:r>
      <w:r w:rsidR="0069418C">
        <w:rPr>
          <w:rFonts w:ascii="Arial" w:hAnsi="Arial" w:cs="Arial"/>
          <w:sz w:val="22"/>
          <w:szCs w:val="22"/>
        </w:rPr>
        <w:t xml:space="preserve">κατέγραψαν άνοδο </w:t>
      </w:r>
      <w:r>
        <w:rPr>
          <w:rFonts w:ascii="Arial" w:hAnsi="Arial" w:cs="Arial"/>
          <w:sz w:val="22"/>
          <w:szCs w:val="22"/>
        </w:rPr>
        <w:t xml:space="preserve">κατά </w:t>
      </w:r>
      <w:r w:rsidR="00DD22CE">
        <w:rPr>
          <w:rFonts w:ascii="Arial" w:hAnsi="Arial" w:cs="Arial"/>
          <w:sz w:val="22"/>
          <w:szCs w:val="22"/>
        </w:rPr>
        <w:t>13,5</w:t>
      </w:r>
      <w:r>
        <w:rPr>
          <w:rFonts w:ascii="Arial" w:hAnsi="Arial" w:cs="Arial"/>
          <w:sz w:val="22"/>
          <w:szCs w:val="22"/>
        </w:rPr>
        <w:t xml:space="preserve">% και διαμορφώθηκαν στα </w:t>
      </w:r>
      <w:r w:rsidR="00DD22CE">
        <w:rPr>
          <w:rFonts w:ascii="Arial" w:hAnsi="Arial" w:cs="Arial"/>
          <w:sz w:val="22"/>
          <w:szCs w:val="22"/>
        </w:rPr>
        <w:t>1.366,3</w:t>
      </w:r>
      <w:r>
        <w:rPr>
          <w:rFonts w:ascii="Arial" w:hAnsi="Arial" w:cs="Arial"/>
          <w:sz w:val="22"/>
          <w:szCs w:val="22"/>
        </w:rPr>
        <w:t xml:space="preserve"> εκατ. ευρώ</w:t>
      </w:r>
      <w:r w:rsidR="00101E3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D22CE">
        <w:rPr>
          <w:rFonts w:ascii="Arial" w:hAnsi="Arial" w:cs="Arial"/>
          <w:sz w:val="22"/>
          <w:szCs w:val="22"/>
        </w:rPr>
        <w:t>όπως και</w:t>
      </w:r>
      <w:r>
        <w:rPr>
          <w:rFonts w:ascii="Arial" w:hAnsi="Arial" w:cs="Arial"/>
          <w:sz w:val="22"/>
          <w:szCs w:val="22"/>
        </w:rPr>
        <w:t xml:space="preserve"> οι εισπράξεις από τη Γαλλία κατά </w:t>
      </w:r>
      <w:r w:rsidR="00DD22CE">
        <w:rPr>
          <w:rFonts w:ascii="Arial" w:hAnsi="Arial" w:cs="Arial"/>
          <w:sz w:val="22"/>
          <w:szCs w:val="22"/>
        </w:rPr>
        <w:t>2,1</w:t>
      </w:r>
      <w:r>
        <w:rPr>
          <w:rFonts w:ascii="Arial" w:hAnsi="Arial" w:cs="Arial"/>
          <w:sz w:val="22"/>
          <w:szCs w:val="22"/>
        </w:rPr>
        <w:t xml:space="preserve">% στα </w:t>
      </w:r>
      <w:r w:rsidR="00DD22CE">
        <w:rPr>
          <w:rFonts w:ascii="Arial" w:hAnsi="Arial" w:cs="Arial"/>
          <w:sz w:val="22"/>
          <w:szCs w:val="22"/>
        </w:rPr>
        <w:t>455,9</w:t>
      </w:r>
      <w:r>
        <w:rPr>
          <w:rFonts w:ascii="Arial" w:hAnsi="Arial" w:cs="Arial"/>
          <w:sz w:val="22"/>
          <w:szCs w:val="22"/>
        </w:rPr>
        <w:t xml:space="preserve"> εκατ. ευρώ. </w:t>
      </w:r>
      <w:r w:rsidR="00DD22CE">
        <w:rPr>
          <w:rFonts w:ascii="Arial" w:hAnsi="Arial" w:cs="Arial"/>
          <w:sz w:val="22"/>
          <w:szCs w:val="22"/>
        </w:rPr>
        <w:t>Ενισχυμένες</w:t>
      </w:r>
      <w:r w:rsidR="0070262D" w:rsidRPr="0045118C">
        <w:rPr>
          <w:rFonts w:ascii="Arial" w:hAnsi="Arial" w:cs="Arial"/>
          <w:sz w:val="22"/>
          <w:szCs w:val="22"/>
        </w:rPr>
        <w:t xml:space="preserve"> κατά</w:t>
      </w:r>
      <w:r w:rsidR="00F4263A">
        <w:rPr>
          <w:rFonts w:ascii="Arial" w:hAnsi="Arial" w:cs="Arial"/>
          <w:sz w:val="22"/>
          <w:szCs w:val="22"/>
        </w:rPr>
        <w:t xml:space="preserve"> </w:t>
      </w:r>
      <w:r w:rsidR="00DD22CE">
        <w:rPr>
          <w:rFonts w:ascii="Arial" w:hAnsi="Arial" w:cs="Arial"/>
          <w:sz w:val="22"/>
          <w:szCs w:val="22"/>
        </w:rPr>
        <w:t>9,0</w:t>
      </w:r>
      <w:r w:rsidR="00F4263A">
        <w:rPr>
          <w:rFonts w:ascii="Arial" w:hAnsi="Arial" w:cs="Arial"/>
          <w:sz w:val="22"/>
          <w:szCs w:val="22"/>
        </w:rPr>
        <w:t>%</w:t>
      </w:r>
      <w:r w:rsidR="00F4263A" w:rsidRPr="0045118C">
        <w:rPr>
          <w:rFonts w:ascii="Arial" w:hAnsi="Arial" w:cs="Arial"/>
          <w:sz w:val="22"/>
          <w:szCs w:val="22"/>
        </w:rPr>
        <w:t xml:space="preserve"> </w:t>
      </w:r>
      <w:r w:rsidR="0070262D">
        <w:rPr>
          <w:rFonts w:ascii="Arial" w:hAnsi="Arial" w:cs="Arial"/>
          <w:sz w:val="22"/>
          <w:szCs w:val="22"/>
        </w:rPr>
        <w:t>ήταν</w:t>
      </w:r>
      <w:r w:rsidR="00F4263A">
        <w:rPr>
          <w:rFonts w:ascii="Arial" w:hAnsi="Arial" w:cs="Arial"/>
          <w:sz w:val="22"/>
          <w:szCs w:val="22"/>
        </w:rPr>
        <w:t xml:space="preserve"> </w:t>
      </w:r>
      <w:r w:rsidR="00276A39">
        <w:rPr>
          <w:rFonts w:ascii="Arial" w:hAnsi="Arial" w:cs="Arial"/>
          <w:sz w:val="22"/>
          <w:szCs w:val="22"/>
        </w:rPr>
        <w:t xml:space="preserve">και </w:t>
      </w:r>
      <w:r w:rsidR="00F4263A">
        <w:rPr>
          <w:rFonts w:ascii="Arial" w:hAnsi="Arial" w:cs="Arial"/>
          <w:sz w:val="22"/>
          <w:szCs w:val="22"/>
        </w:rPr>
        <w:t>οι</w:t>
      </w:r>
      <w:r w:rsidR="00F4263A" w:rsidRPr="0045118C">
        <w:rPr>
          <w:rFonts w:ascii="Arial" w:hAnsi="Arial" w:cs="Arial"/>
          <w:sz w:val="22"/>
          <w:szCs w:val="22"/>
        </w:rPr>
        <w:t xml:space="preserve"> εισπράξεις από </w:t>
      </w:r>
      <w:r w:rsidR="00F4263A">
        <w:rPr>
          <w:rFonts w:ascii="Arial" w:hAnsi="Arial" w:cs="Arial"/>
          <w:sz w:val="22"/>
          <w:szCs w:val="22"/>
        </w:rPr>
        <w:t>την</w:t>
      </w:r>
      <w:r w:rsidR="00F4263A" w:rsidRPr="0045118C">
        <w:rPr>
          <w:rFonts w:ascii="Arial" w:hAnsi="Arial" w:cs="Arial"/>
          <w:sz w:val="22"/>
          <w:szCs w:val="22"/>
        </w:rPr>
        <w:t xml:space="preserve"> Ιταλία</w:t>
      </w:r>
      <w:r w:rsidR="00F4263A">
        <w:rPr>
          <w:rFonts w:ascii="Arial" w:hAnsi="Arial" w:cs="Arial"/>
          <w:sz w:val="22"/>
          <w:szCs w:val="22"/>
        </w:rPr>
        <w:t xml:space="preserve">, οι οποίες διαμορφώθηκαν </w:t>
      </w:r>
      <w:r w:rsidR="00F4263A" w:rsidRPr="0045118C">
        <w:rPr>
          <w:rFonts w:ascii="Arial" w:hAnsi="Arial" w:cs="Arial"/>
          <w:sz w:val="22"/>
          <w:szCs w:val="22"/>
        </w:rPr>
        <w:t xml:space="preserve">στα </w:t>
      </w:r>
      <w:r w:rsidR="00DD22CE">
        <w:rPr>
          <w:rFonts w:ascii="Arial" w:hAnsi="Arial" w:cs="Arial"/>
          <w:sz w:val="22"/>
          <w:szCs w:val="22"/>
        </w:rPr>
        <w:t>344</w:t>
      </w:r>
      <w:r w:rsidR="008844F1">
        <w:rPr>
          <w:rFonts w:ascii="Arial" w:hAnsi="Arial" w:cs="Arial"/>
          <w:sz w:val="22"/>
          <w:szCs w:val="22"/>
        </w:rPr>
        <w:t>,7</w:t>
      </w:r>
      <w:r w:rsidR="00F4263A" w:rsidRPr="0045118C">
        <w:rPr>
          <w:rFonts w:ascii="Arial" w:hAnsi="Arial" w:cs="Arial"/>
          <w:sz w:val="22"/>
          <w:szCs w:val="22"/>
        </w:rPr>
        <w:t xml:space="preserve"> εκατ. ευρώ</w:t>
      </w:r>
      <w:r w:rsidR="00F426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Από τις </w:t>
      </w:r>
      <w:r w:rsidR="00BD595C">
        <w:rPr>
          <w:rFonts w:ascii="Arial" w:hAnsi="Arial" w:cs="Arial"/>
          <w:sz w:val="22"/>
          <w:szCs w:val="22"/>
        </w:rPr>
        <w:t xml:space="preserve">λοιπές </w:t>
      </w:r>
      <w:r>
        <w:rPr>
          <w:rFonts w:ascii="Arial" w:hAnsi="Arial" w:cs="Arial"/>
          <w:sz w:val="22"/>
          <w:szCs w:val="22"/>
        </w:rPr>
        <w:t xml:space="preserve">χώρες, </w:t>
      </w:r>
      <w:r w:rsidR="00BD595C">
        <w:rPr>
          <w:rFonts w:ascii="Arial" w:hAnsi="Arial" w:cs="Arial"/>
          <w:sz w:val="22"/>
          <w:szCs w:val="22"/>
        </w:rPr>
        <w:t>άνοδο</w:t>
      </w:r>
      <w:r>
        <w:rPr>
          <w:rFonts w:ascii="Arial" w:hAnsi="Arial" w:cs="Arial"/>
          <w:sz w:val="22"/>
          <w:szCs w:val="22"/>
        </w:rPr>
        <w:t xml:space="preserve"> κατά </w:t>
      </w:r>
      <w:r w:rsidR="00DD22CE">
        <w:rPr>
          <w:rFonts w:ascii="Arial" w:hAnsi="Arial" w:cs="Arial"/>
          <w:sz w:val="22"/>
          <w:szCs w:val="22"/>
        </w:rPr>
        <w:t>7</w:t>
      </w:r>
      <w:r w:rsidR="008844F1">
        <w:rPr>
          <w:rFonts w:ascii="Arial" w:hAnsi="Arial" w:cs="Arial"/>
          <w:sz w:val="22"/>
          <w:szCs w:val="22"/>
        </w:rPr>
        <w:t>,3</w:t>
      </w:r>
      <w:r>
        <w:rPr>
          <w:rFonts w:ascii="Arial" w:hAnsi="Arial" w:cs="Arial"/>
          <w:sz w:val="22"/>
          <w:szCs w:val="22"/>
        </w:rPr>
        <w:t xml:space="preserve">% παρουσίασαν οι εισπράξεις </w:t>
      </w:r>
      <w:r>
        <w:rPr>
          <w:rFonts w:ascii="Arial" w:hAnsi="Arial" w:cs="Arial"/>
          <w:sz w:val="22"/>
          <w:szCs w:val="22"/>
        </w:rPr>
        <w:lastRenderedPageBreak/>
        <w:t xml:space="preserve">από το Ηνωμένο Βασίλειο, οι οποίες διαμορφώθηκαν στα </w:t>
      </w:r>
      <w:r w:rsidR="00DD22CE">
        <w:rPr>
          <w:rFonts w:ascii="Arial" w:hAnsi="Arial" w:cs="Arial"/>
          <w:sz w:val="22"/>
          <w:szCs w:val="22"/>
        </w:rPr>
        <w:t>1.081,8</w:t>
      </w:r>
      <w:r w:rsidR="006F407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εκατ. ευρώ,</w:t>
      </w:r>
      <w:r w:rsidR="006456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ενώ </w:t>
      </w:r>
      <w:r w:rsidR="00FE77EF">
        <w:rPr>
          <w:rFonts w:ascii="Arial" w:hAnsi="Arial" w:cs="Arial"/>
          <w:sz w:val="22"/>
          <w:szCs w:val="22"/>
        </w:rPr>
        <w:t xml:space="preserve">και </w:t>
      </w:r>
      <w:r>
        <w:rPr>
          <w:rFonts w:ascii="Arial" w:hAnsi="Arial" w:cs="Arial"/>
          <w:sz w:val="22"/>
          <w:szCs w:val="22"/>
        </w:rPr>
        <w:t xml:space="preserve">οι εισπράξεις από τις ΗΠΑ αυξήθηκαν κατά </w:t>
      </w:r>
      <w:r w:rsidR="00DD22CE">
        <w:rPr>
          <w:rFonts w:ascii="Arial" w:hAnsi="Arial" w:cs="Arial"/>
          <w:sz w:val="22"/>
          <w:szCs w:val="22"/>
        </w:rPr>
        <w:t>29,4</w:t>
      </w:r>
      <w:r>
        <w:rPr>
          <w:rFonts w:ascii="Arial" w:hAnsi="Arial" w:cs="Arial"/>
          <w:sz w:val="22"/>
          <w:szCs w:val="22"/>
        </w:rPr>
        <w:t xml:space="preserve">% και διαμορφώθηκαν στα </w:t>
      </w:r>
      <w:r w:rsidR="00DD22CE">
        <w:rPr>
          <w:rFonts w:ascii="Arial" w:hAnsi="Arial" w:cs="Arial"/>
          <w:sz w:val="22"/>
          <w:szCs w:val="22"/>
        </w:rPr>
        <w:t>704,3</w:t>
      </w:r>
      <w:r>
        <w:rPr>
          <w:rFonts w:ascii="Arial" w:hAnsi="Arial" w:cs="Arial"/>
          <w:sz w:val="22"/>
          <w:szCs w:val="22"/>
        </w:rPr>
        <w:t xml:space="preserve"> εκατ. ευρώ. Τέλος, </w:t>
      </w:r>
      <w:r w:rsidR="00BD595C">
        <w:rPr>
          <w:rFonts w:ascii="Arial" w:hAnsi="Arial" w:cs="Arial"/>
          <w:sz w:val="22"/>
          <w:szCs w:val="22"/>
        </w:rPr>
        <w:t xml:space="preserve">οι εισπράξεις από τη Ρωσία </w:t>
      </w:r>
      <w:r w:rsidR="00E15E29">
        <w:rPr>
          <w:rFonts w:ascii="Arial" w:hAnsi="Arial" w:cs="Arial"/>
          <w:sz w:val="22"/>
          <w:szCs w:val="22"/>
        </w:rPr>
        <w:t xml:space="preserve">αυξήθηκαν σε </w:t>
      </w:r>
      <w:r w:rsidR="00DD22CE">
        <w:rPr>
          <w:rFonts w:ascii="Arial" w:hAnsi="Arial" w:cs="Arial"/>
          <w:sz w:val="22"/>
          <w:szCs w:val="22"/>
        </w:rPr>
        <w:t>9,6</w:t>
      </w:r>
      <w:r w:rsidR="00BD595C">
        <w:rPr>
          <w:rFonts w:ascii="Arial" w:hAnsi="Arial" w:cs="Arial"/>
          <w:sz w:val="22"/>
          <w:szCs w:val="22"/>
        </w:rPr>
        <w:t xml:space="preserve"> εκατ. ευρώ</w:t>
      </w:r>
      <w:r>
        <w:rPr>
          <w:rFonts w:ascii="Arial" w:hAnsi="Arial" w:cs="Arial"/>
          <w:sz w:val="22"/>
          <w:szCs w:val="22"/>
        </w:rPr>
        <w:t>.</w:t>
      </w:r>
    </w:p>
    <w:p w14:paraId="20A31D32" w14:textId="77777777" w:rsidR="007E3B77" w:rsidRDefault="007E3B77" w:rsidP="007E3B77">
      <w:pPr>
        <w:pStyle w:val="BodyText"/>
        <w:spacing w:before="120" w:line="360" w:lineRule="auto"/>
        <w:rPr>
          <w:b/>
          <w:sz w:val="22"/>
          <w:szCs w:val="22"/>
        </w:rPr>
      </w:pPr>
    </w:p>
    <w:p w14:paraId="2CA3DC82" w14:textId="77777777" w:rsidR="007E3B77" w:rsidRDefault="007E3B77" w:rsidP="007E3B77">
      <w:pPr>
        <w:spacing w:before="120" w:line="360" w:lineRule="auto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Εισερχόμενη ταξιδιωτική κίνηση</w:t>
      </w:r>
    </w:p>
    <w:p w14:paraId="7EACB020" w14:textId="1D095C31" w:rsidR="0070262D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εισερχόμενη ταξιδιωτική κίνηση </w:t>
      </w:r>
      <w:r w:rsidR="00F5553E">
        <w:rPr>
          <w:rFonts w:ascii="Arial" w:hAnsi="Arial" w:cs="Arial"/>
          <w:sz w:val="22"/>
          <w:szCs w:val="22"/>
        </w:rPr>
        <w:t>το</w:t>
      </w:r>
      <w:r w:rsidR="009E51ED">
        <w:rPr>
          <w:rFonts w:ascii="Arial" w:hAnsi="Arial" w:cs="Arial"/>
          <w:sz w:val="22"/>
          <w:szCs w:val="22"/>
        </w:rPr>
        <w:t>ν</w:t>
      </w:r>
      <w:r w:rsidR="00F5553E">
        <w:rPr>
          <w:rFonts w:ascii="Arial" w:hAnsi="Arial" w:cs="Arial"/>
          <w:sz w:val="22"/>
          <w:szCs w:val="22"/>
        </w:rPr>
        <w:t xml:space="preserve"> </w:t>
      </w:r>
      <w:r w:rsidR="00CE0083">
        <w:rPr>
          <w:rFonts w:ascii="Arial" w:hAnsi="Arial" w:cs="Arial"/>
          <w:sz w:val="22"/>
          <w:szCs w:val="22"/>
          <w:u w:val="single"/>
        </w:rPr>
        <w:t>Ιούνιο</w:t>
      </w:r>
      <w:r w:rsidRPr="00F5553E">
        <w:rPr>
          <w:rFonts w:ascii="Arial" w:hAnsi="Arial" w:cs="Arial"/>
          <w:sz w:val="22"/>
          <w:szCs w:val="22"/>
          <w:u w:val="single"/>
        </w:rPr>
        <w:t xml:space="preserve"> του </w:t>
      </w:r>
      <w:r w:rsidR="0044335A" w:rsidRPr="00F5553E">
        <w:rPr>
          <w:rFonts w:ascii="Arial" w:hAnsi="Arial" w:cs="Arial"/>
          <w:sz w:val="22"/>
          <w:szCs w:val="22"/>
          <w:u w:val="single"/>
        </w:rPr>
        <w:t>2025</w:t>
      </w:r>
      <w:r>
        <w:rPr>
          <w:rFonts w:ascii="Arial" w:hAnsi="Arial" w:cs="Arial"/>
          <w:sz w:val="22"/>
          <w:szCs w:val="22"/>
        </w:rPr>
        <w:t xml:space="preserve"> διαμορφώθηκε σε </w:t>
      </w:r>
      <w:r w:rsidR="00DD22CE">
        <w:rPr>
          <w:rFonts w:ascii="Arial" w:hAnsi="Arial" w:cs="Arial"/>
          <w:sz w:val="22"/>
          <w:szCs w:val="22"/>
        </w:rPr>
        <w:t>4.602,7</w:t>
      </w:r>
      <w:r>
        <w:rPr>
          <w:rFonts w:ascii="Arial" w:hAnsi="Arial" w:cs="Arial"/>
          <w:sz w:val="22"/>
          <w:szCs w:val="22"/>
        </w:rPr>
        <w:t xml:space="preserve"> χιλ. ταξιδιώτες, </w:t>
      </w:r>
      <w:r w:rsidR="008844F1">
        <w:rPr>
          <w:rFonts w:ascii="Arial" w:hAnsi="Arial" w:cs="Arial"/>
          <w:sz w:val="22"/>
          <w:szCs w:val="22"/>
        </w:rPr>
        <w:t>μειω</w:t>
      </w:r>
      <w:r>
        <w:rPr>
          <w:rFonts w:ascii="Arial" w:hAnsi="Arial" w:cs="Arial"/>
          <w:sz w:val="22"/>
          <w:szCs w:val="22"/>
        </w:rPr>
        <w:t xml:space="preserve">μένη κατά </w:t>
      </w:r>
      <w:r w:rsidR="00DD22CE">
        <w:rPr>
          <w:rFonts w:ascii="Arial" w:hAnsi="Arial" w:cs="Arial"/>
          <w:sz w:val="22"/>
          <w:szCs w:val="22"/>
        </w:rPr>
        <w:t>1</w:t>
      </w:r>
      <w:r w:rsidR="008844F1">
        <w:rPr>
          <w:rFonts w:ascii="Arial" w:hAnsi="Arial" w:cs="Arial"/>
          <w:sz w:val="22"/>
          <w:szCs w:val="22"/>
        </w:rPr>
        <w:t>,7</w:t>
      </w:r>
      <w:r>
        <w:rPr>
          <w:rFonts w:ascii="Arial" w:hAnsi="Arial" w:cs="Arial"/>
          <w:sz w:val="22"/>
          <w:szCs w:val="22"/>
        </w:rPr>
        <w:t xml:space="preserve">% </w:t>
      </w:r>
      <w:r w:rsidRPr="00870363">
        <w:rPr>
          <w:rFonts w:ascii="Arial" w:hAnsi="Arial" w:cs="Arial"/>
          <w:sz w:val="22"/>
          <w:szCs w:val="22"/>
        </w:rPr>
        <w:t xml:space="preserve">σε σύγκριση με </w:t>
      </w:r>
      <w:r w:rsidRPr="00A264BB">
        <w:rPr>
          <w:rFonts w:ascii="Arial" w:hAnsi="Arial" w:cs="Arial"/>
          <w:sz w:val="22"/>
          <w:szCs w:val="22"/>
        </w:rPr>
        <w:t xml:space="preserve">τον αντίστοιχο μήνα του </w:t>
      </w:r>
      <w:r w:rsidR="0044335A" w:rsidRPr="00A264BB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>. Ειδικότερα, η ταξιδιωτική κίνηση μέσω αεροδρομίων</w:t>
      </w:r>
      <w:r w:rsidR="00BB05CB">
        <w:rPr>
          <w:rFonts w:ascii="Arial" w:hAnsi="Arial" w:cs="Arial"/>
          <w:sz w:val="22"/>
          <w:szCs w:val="22"/>
        </w:rPr>
        <w:t xml:space="preserve"> </w:t>
      </w:r>
      <w:r w:rsidR="00390E40">
        <w:rPr>
          <w:rFonts w:ascii="Arial" w:hAnsi="Arial" w:cs="Arial"/>
          <w:sz w:val="22"/>
          <w:szCs w:val="22"/>
        </w:rPr>
        <w:t>αυξή</w:t>
      </w:r>
      <w:r>
        <w:rPr>
          <w:rFonts w:ascii="Arial" w:hAnsi="Arial" w:cs="Arial"/>
          <w:sz w:val="22"/>
          <w:szCs w:val="22"/>
        </w:rPr>
        <w:t xml:space="preserve">θηκε κατά </w:t>
      </w:r>
      <w:r w:rsidR="00DD22CE">
        <w:rPr>
          <w:rFonts w:ascii="Arial" w:hAnsi="Arial" w:cs="Arial"/>
          <w:sz w:val="22"/>
          <w:szCs w:val="22"/>
        </w:rPr>
        <w:t>3,3</w:t>
      </w:r>
      <w:r w:rsidR="0078607D" w:rsidRPr="00890565">
        <w:rPr>
          <w:rFonts w:ascii="Arial" w:hAnsi="Arial" w:cs="Arial"/>
          <w:sz w:val="22"/>
          <w:szCs w:val="22"/>
        </w:rPr>
        <w:t>%</w:t>
      </w:r>
      <w:r w:rsidR="0078607D" w:rsidRPr="0078607D">
        <w:rPr>
          <w:rFonts w:ascii="Arial" w:hAnsi="Arial" w:cs="Arial"/>
          <w:sz w:val="22"/>
          <w:szCs w:val="22"/>
        </w:rPr>
        <w:t xml:space="preserve"> </w:t>
      </w:r>
      <w:r w:rsidR="00A264BB">
        <w:rPr>
          <w:rFonts w:ascii="Arial" w:hAnsi="Arial" w:cs="Arial"/>
          <w:sz w:val="22"/>
          <w:szCs w:val="22"/>
        </w:rPr>
        <w:t>έναντι του</w:t>
      </w:r>
      <w:r w:rsidR="0078607D">
        <w:rPr>
          <w:rFonts w:ascii="Arial" w:hAnsi="Arial" w:cs="Arial"/>
          <w:sz w:val="22"/>
          <w:szCs w:val="22"/>
        </w:rPr>
        <w:t xml:space="preserve"> </w:t>
      </w:r>
      <w:r w:rsidR="00CE0083">
        <w:rPr>
          <w:rFonts w:ascii="Arial" w:hAnsi="Arial" w:cs="Arial"/>
          <w:sz w:val="22"/>
          <w:szCs w:val="22"/>
        </w:rPr>
        <w:t>Ιουνίου</w:t>
      </w:r>
      <w:r w:rsidR="0078607D">
        <w:rPr>
          <w:rFonts w:ascii="Arial" w:hAnsi="Arial" w:cs="Arial"/>
          <w:sz w:val="22"/>
          <w:szCs w:val="22"/>
        </w:rPr>
        <w:t xml:space="preserve"> του 2024</w:t>
      </w:r>
      <w:r w:rsidR="002F48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34E93">
        <w:rPr>
          <w:rFonts w:ascii="Arial" w:hAnsi="Arial" w:cs="Arial"/>
          <w:sz w:val="22"/>
          <w:szCs w:val="22"/>
        </w:rPr>
        <w:t xml:space="preserve">ενώ </w:t>
      </w:r>
      <w:r>
        <w:rPr>
          <w:rFonts w:ascii="Arial" w:hAnsi="Arial" w:cs="Arial"/>
          <w:sz w:val="22"/>
          <w:szCs w:val="22"/>
        </w:rPr>
        <w:t xml:space="preserve">αυτή μέσω οδικών συνοριακών σταθμών </w:t>
      </w:r>
      <w:r w:rsidR="008844F1">
        <w:rPr>
          <w:rFonts w:ascii="Arial" w:hAnsi="Arial" w:cs="Arial"/>
          <w:sz w:val="22"/>
          <w:szCs w:val="22"/>
        </w:rPr>
        <w:t>μειώθηκε</w:t>
      </w:r>
      <w:r w:rsidR="00390E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DD22CE">
        <w:rPr>
          <w:rFonts w:ascii="Arial" w:hAnsi="Arial" w:cs="Arial"/>
          <w:sz w:val="22"/>
          <w:szCs w:val="22"/>
        </w:rPr>
        <w:t>19,7</w:t>
      </w:r>
      <w:r w:rsidRPr="00870363">
        <w:rPr>
          <w:rFonts w:ascii="Arial" w:hAnsi="Arial" w:cs="Arial"/>
          <w:sz w:val="22"/>
          <w:szCs w:val="22"/>
        </w:rPr>
        <w:t>%</w:t>
      </w:r>
      <w:r w:rsidR="00145B40" w:rsidRPr="00870363">
        <w:rPr>
          <w:rFonts w:ascii="Arial" w:hAnsi="Arial" w:cs="Arial"/>
          <w:sz w:val="22"/>
          <w:szCs w:val="22"/>
        </w:rPr>
        <w:t>.</w:t>
      </w:r>
      <w:r w:rsidR="00145B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Η</w:t>
      </w:r>
      <w:r w:rsidR="008844F1">
        <w:rPr>
          <w:rFonts w:ascii="Arial" w:hAnsi="Arial" w:cs="Arial"/>
          <w:sz w:val="22"/>
          <w:szCs w:val="22"/>
        </w:rPr>
        <w:t xml:space="preserve"> πτώση</w:t>
      </w:r>
      <w:r>
        <w:rPr>
          <w:rFonts w:ascii="Arial" w:hAnsi="Arial" w:cs="Arial"/>
          <w:sz w:val="22"/>
          <w:szCs w:val="22"/>
        </w:rPr>
        <w:t xml:space="preserve"> της εισερχόμενης ταξιδιωτικής κίνησης προήλθε </w:t>
      </w:r>
      <w:r w:rsidR="00DA430D">
        <w:rPr>
          <w:rFonts w:ascii="Arial" w:hAnsi="Arial" w:cs="Arial"/>
          <w:sz w:val="22"/>
          <w:szCs w:val="22"/>
        </w:rPr>
        <w:t xml:space="preserve">κυρίως </w:t>
      </w:r>
      <w:r>
        <w:rPr>
          <w:rFonts w:ascii="Arial" w:hAnsi="Arial" w:cs="Arial"/>
          <w:sz w:val="22"/>
          <w:szCs w:val="22"/>
        </w:rPr>
        <w:t xml:space="preserve">από την </w:t>
      </w:r>
      <w:r w:rsidR="0069418C">
        <w:rPr>
          <w:rFonts w:ascii="Arial" w:hAnsi="Arial" w:cs="Arial"/>
          <w:sz w:val="22"/>
          <w:szCs w:val="22"/>
        </w:rPr>
        <w:t xml:space="preserve">υποχώρηση </w:t>
      </w:r>
      <w:r>
        <w:rPr>
          <w:rFonts w:ascii="Arial" w:hAnsi="Arial" w:cs="Arial"/>
          <w:sz w:val="22"/>
          <w:szCs w:val="22"/>
        </w:rPr>
        <w:t>της ταξιδιωτικής κίνησης</w:t>
      </w:r>
      <w:r w:rsidR="00894311">
        <w:rPr>
          <w:rFonts w:ascii="Arial" w:hAnsi="Arial" w:cs="Arial"/>
          <w:sz w:val="22"/>
          <w:szCs w:val="22"/>
        </w:rPr>
        <w:t xml:space="preserve"> από </w:t>
      </w:r>
      <w:r w:rsidR="008844F1">
        <w:rPr>
          <w:rFonts w:ascii="Arial" w:hAnsi="Arial" w:cs="Arial"/>
          <w:sz w:val="22"/>
          <w:szCs w:val="22"/>
        </w:rPr>
        <w:t>τις χώρες της ΕΕ</w:t>
      </w:r>
      <w:r w:rsidR="00A81817">
        <w:rPr>
          <w:rFonts w:ascii="Arial" w:hAnsi="Arial" w:cs="Arial"/>
          <w:sz w:val="22"/>
          <w:szCs w:val="22"/>
        </w:rPr>
        <w:noBreakHyphen/>
      </w:r>
      <w:r w:rsidR="008844F1">
        <w:rPr>
          <w:rFonts w:ascii="Arial" w:hAnsi="Arial" w:cs="Arial"/>
          <w:sz w:val="22"/>
          <w:szCs w:val="22"/>
        </w:rPr>
        <w:t xml:space="preserve">27 </w:t>
      </w:r>
      <w:r w:rsidR="00894311">
        <w:rPr>
          <w:rFonts w:ascii="Arial" w:hAnsi="Arial" w:cs="Arial"/>
          <w:sz w:val="22"/>
          <w:szCs w:val="22"/>
        </w:rPr>
        <w:t xml:space="preserve">κατά </w:t>
      </w:r>
      <w:r w:rsidR="00DD22CE">
        <w:rPr>
          <w:rFonts w:ascii="Arial" w:hAnsi="Arial" w:cs="Arial"/>
          <w:sz w:val="22"/>
          <w:szCs w:val="22"/>
        </w:rPr>
        <w:t>8,1</w:t>
      </w:r>
      <w:r w:rsidR="00894311">
        <w:rPr>
          <w:rFonts w:ascii="Arial" w:hAnsi="Arial" w:cs="Arial"/>
          <w:sz w:val="22"/>
          <w:szCs w:val="22"/>
        </w:rPr>
        <w:t>%,</w:t>
      </w:r>
      <w:r>
        <w:rPr>
          <w:rFonts w:ascii="Arial" w:hAnsi="Arial" w:cs="Arial"/>
          <w:sz w:val="22"/>
          <w:szCs w:val="22"/>
        </w:rPr>
        <w:t xml:space="preserve"> </w:t>
      </w:r>
      <w:r w:rsidR="00894311">
        <w:rPr>
          <w:rFonts w:ascii="Arial" w:hAnsi="Arial" w:cs="Arial"/>
          <w:sz w:val="22"/>
          <w:szCs w:val="22"/>
        </w:rPr>
        <w:t>καθώς</w:t>
      </w:r>
      <w:r w:rsidR="00DA430D">
        <w:rPr>
          <w:rFonts w:ascii="Arial" w:hAnsi="Arial" w:cs="Arial"/>
          <w:sz w:val="22"/>
          <w:szCs w:val="22"/>
        </w:rPr>
        <w:t xml:space="preserve"> </w:t>
      </w:r>
      <w:r w:rsidR="00894311">
        <w:rPr>
          <w:rFonts w:ascii="Arial" w:hAnsi="Arial" w:cs="Arial"/>
          <w:sz w:val="22"/>
          <w:szCs w:val="22"/>
        </w:rPr>
        <w:t xml:space="preserve">η ταξιδιωτική κίνηση από </w:t>
      </w:r>
      <w:r w:rsidR="008844F1">
        <w:rPr>
          <w:rFonts w:ascii="Arial" w:hAnsi="Arial" w:cs="Arial"/>
          <w:sz w:val="22"/>
          <w:szCs w:val="22"/>
        </w:rPr>
        <w:t xml:space="preserve">τις λοιπές χώρες </w:t>
      </w:r>
      <w:r w:rsidR="00DA430D">
        <w:rPr>
          <w:rFonts w:ascii="Arial" w:hAnsi="Arial" w:cs="Arial"/>
          <w:sz w:val="22"/>
          <w:szCs w:val="22"/>
        </w:rPr>
        <w:t>αυξήθηκε</w:t>
      </w:r>
      <w:r w:rsidR="008943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DA430D">
        <w:rPr>
          <w:rFonts w:ascii="Arial" w:hAnsi="Arial" w:cs="Arial"/>
          <w:sz w:val="22"/>
          <w:szCs w:val="22"/>
        </w:rPr>
        <w:t>8</w:t>
      </w:r>
      <w:r w:rsidR="00DD22CE">
        <w:rPr>
          <w:rFonts w:ascii="Arial" w:hAnsi="Arial" w:cs="Arial"/>
          <w:sz w:val="22"/>
          <w:szCs w:val="22"/>
        </w:rPr>
        <w:t>,0</w:t>
      </w:r>
      <w:r>
        <w:rPr>
          <w:rFonts w:ascii="Arial" w:hAnsi="Arial" w:cs="Arial"/>
          <w:sz w:val="22"/>
          <w:szCs w:val="22"/>
        </w:rPr>
        <w:t xml:space="preserve">%. Αναλυτικότερα, η ταξιδιωτική κίνηση από τις χώρες </w:t>
      </w:r>
      <w:r w:rsidR="00914912" w:rsidRPr="00914912">
        <w:rPr>
          <w:rFonts w:ascii="Arial" w:hAnsi="Arial" w:cs="Arial"/>
          <w:sz w:val="22"/>
          <w:szCs w:val="22"/>
        </w:rPr>
        <w:t>της ζώνης του ευρώ αυξήθηκε κατά 7,2% και διαμορφώθηκε σε 1.949,3 χιλ. ταξιδιώτες</w:t>
      </w:r>
      <w:r>
        <w:rPr>
          <w:rFonts w:ascii="Arial" w:hAnsi="Arial" w:cs="Arial"/>
          <w:sz w:val="22"/>
          <w:szCs w:val="22"/>
        </w:rPr>
        <w:t xml:space="preserve">, </w:t>
      </w:r>
      <w:r w:rsidR="00FE77EF">
        <w:rPr>
          <w:rFonts w:ascii="Arial" w:hAnsi="Arial" w:cs="Arial"/>
          <w:sz w:val="22"/>
          <w:szCs w:val="22"/>
        </w:rPr>
        <w:t>ενώ</w:t>
      </w:r>
      <w:r w:rsidR="0070262D">
        <w:rPr>
          <w:rFonts w:ascii="Arial" w:hAnsi="Arial" w:cs="Arial"/>
          <w:sz w:val="22"/>
          <w:szCs w:val="22"/>
        </w:rPr>
        <w:t xml:space="preserve"> </w:t>
      </w:r>
      <w:r w:rsidR="001D0E45">
        <w:rPr>
          <w:rFonts w:ascii="Arial" w:hAnsi="Arial" w:cs="Arial"/>
          <w:sz w:val="22"/>
          <w:szCs w:val="22"/>
        </w:rPr>
        <w:t>και</w:t>
      </w:r>
      <w:r>
        <w:rPr>
          <w:rFonts w:ascii="Arial" w:hAnsi="Arial" w:cs="Arial"/>
          <w:sz w:val="22"/>
          <w:szCs w:val="22"/>
        </w:rPr>
        <w:t xml:space="preserve"> η ταξιδιωτική κίνηση από τις χώρες</w:t>
      </w:r>
      <w:r w:rsidR="00914912" w:rsidRPr="00914912">
        <w:rPr>
          <w:rFonts w:ascii="Arial" w:hAnsi="Arial" w:cs="Arial"/>
          <w:sz w:val="22"/>
          <w:szCs w:val="22"/>
        </w:rPr>
        <w:t xml:space="preserve"> της ΕΕ-27 εκτός της ζώνης του ευρώ μειώθηκε κατά 35,5% και διαμορφώθηκε σε 651,1 χιλ. ταξιδιώτες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4F3CCC" w14:textId="48EA876F" w:rsidR="007E3B77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Ειδικότερα, η ταξιδιωτική κίνηση από τη Γερμανία </w:t>
      </w:r>
      <w:r w:rsidR="004348CA">
        <w:rPr>
          <w:rFonts w:ascii="Arial" w:hAnsi="Arial" w:cs="Arial"/>
          <w:sz w:val="22"/>
          <w:szCs w:val="22"/>
        </w:rPr>
        <w:t>αυξήθηκε</w:t>
      </w:r>
      <w:r>
        <w:rPr>
          <w:rFonts w:ascii="Arial" w:hAnsi="Arial" w:cs="Arial"/>
          <w:sz w:val="22"/>
          <w:szCs w:val="22"/>
        </w:rPr>
        <w:t xml:space="preserve"> κατά </w:t>
      </w:r>
      <w:r w:rsidR="004348CA">
        <w:rPr>
          <w:rFonts w:ascii="Arial" w:hAnsi="Arial" w:cs="Arial"/>
          <w:sz w:val="22"/>
          <w:szCs w:val="22"/>
        </w:rPr>
        <w:t>9,5</w:t>
      </w:r>
      <w:r>
        <w:rPr>
          <w:rFonts w:ascii="Arial" w:hAnsi="Arial" w:cs="Arial"/>
          <w:sz w:val="22"/>
          <w:szCs w:val="22"/>
        </w:rPr>
        <w:t xml:space="preserve">% και διαμορφώθηκε σε </w:t>
      </w:r>
      <w:r w:rsidR="004348CA">
        <w:rPr>
          <w:rFonts w:ascii="Arial" w:hAnsi="Arial" w:cs="Arial"/>
          <w:sz w:val="22"/>
          <w:szCs w:val="22"/>
        </w:rPr>
        <w:t>768,8</w:t>
      </w:r>
      <w:r>
        <w:rPr>
          <w:rFonts w:ascii="Arial" w:hAnsi="Arial" w:cs="Arial"/>
          <w:sz w:val="22"/>
          <w:szCs w:val="22"/>
        </w:rPr>
        <w:t xml:space="preserve"> χιλ. ταξιδιώτες</w:t>
      </w:r>
      <w:r w:rsidR="00EA5543">
        <w:rPr>
          <w:rFonts w:ascii="Arial" w:hAnsi="Arial" w:cs="Arial"/>
          <w:sz w:val="22"/>
          <w:szCs w:val="22"/>
        </w:rPr>
        <w:t xml:space="preserve">, </w:t>
      </w:r>
      <w:r w:rsidR="004348CA">
        <w:rPr>
          <w:rFonts w:ascii="Arial" w:hAnsi="Arial" w:cs="Arial"/>
          <w:sz w:val="22"/>
          <w:szCs w:val="22"/>
        </w:rPr>
        <w:t>όπως</w:t>
      </w:r>
      <w:r>
        <w:rPr>
          <w:rFonts w:ascii="Arial" w:hAnsi="Arial" w:cs="Arial"/>
          <w:sz w:val="22"/>
          <w:szCs w:val="22"/>
        </w:rPr>
        <w:t xml:space="preserve"> </w:t>
      </w:r>
      <w:r w:rsidR="00DA430D">
        <w:rPr>
          <w:rFonts w:ascii="Arial" w:hAnsi="Arial" w:cs="Arial"/>
          <w:sz w:val="22"/>
          <w:szCs w:val="22"/>
        </w:rPr>
        <w:t>και</w:t>
      </w:r>
      <w:r>
        <w:rPr>
          <w:rFonts w:ascii="Arial" w:hAnsi="Arial" w:cs="Arial"/>
          <w:sz w:val="22"/>
          <w:szCs w:val="22"/>
        </w:rPr>
        <w:t xml:space="preserve"> </w:t>
      </w:r>
      <w:r w:rsidR="00645DD5">
        <w:rPr>
          <w:rFonts w:ascii="Arial" w:hAnsi="Arial" w:cs="Arial"/>
          <w:sz w:val="22"/>
          <w:szCs w:val="22"/>
        </w:rPr>
        <w:t xml:space="preserve">αυτή </w:t>
      </w:r>
      <w:r>
        <w:rPr>
          <w:rFonts w:ascii="Arial" w:hAnsi="Arial" w:cs="Arial"/>
          <w:sz w:val="22"/>
          <w:szCs w:val="22"/>
        </w:rPr>
        <w:t>από τη Γαλλία</w:t>
      </w:r>
      <w:r w:rsidR="00EA55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4348CA">
        <w:rPr>
          <w:rFonts w:ascii="Arial" w:hAnsi="Arial" w:cs="Arial"/>
          <w:sz w:val="22"/>
          <w:szCs w:val="22"/>
        </w:rPr>
        <w:t>29,6</w:t>
      </w:r>
      <w:r>
        <w:rPr>
          <w:rFonts w:ascii="Arial" w:hAnsi="Arial" w:cs="Arial"/>
          <w:sz w:val="22"/>
          <w:szCs w:val="22"/>
        </w:rPr>
        <w:t xml:space="preserve">% σε </w:t>
      </w:r>
      <w:r w:rsidR="004348CA">
        <w:rPr>
          <w:rFonts w:ascii="Arial" w:hAnsi="Arial" w:cs="Arial"/>
          <w:sz w:val="22"/>
          <w:szCs w:val="22"/>
        </w:rPr>
        <w:t>267,9</w:t>
      </w:r>
      <w:r>
        <w:rPr>
          <w:rFonts w:ascii="Arial" w:hAnsi="Arial" w:cs="Arial"/>
          <w:sz w:val="22"/>
          <w:szCs w:val="22"/>
        </w:rPr>
        <w:t xml:space="preserve"> χιλ. ταξιδιώτες.</w:t>
      </w:r>
      <w:r w:rsidR="0070262D" w:rsidRPr="0070262D">
        <w:rPr>
          <w:rFonts w:ascii="Arial" w:hAnsi="Arial" w:cs="Arial"/>
          <w:sz w:val="22"/>
          <w:szCs w:val="22"/>
        </w:rPr>
        <w:t xml:space="preserve"> </w:t>
      </w:r>
      <w:r w:rsidR="004348CA">
        <w:rPr>
          <w:rFonts w:ascii="Arial" w:hAnsi="Arial" w:cs="Arial"/>
          <w:sz w:val="22"/>
          <w:szCs w:val="22"/>
        </w:rPr>
        <w:t>Άνοδο</w:t>
      </w:r>
      <w:r w:rsidR="0070262D">
        <w:rPr>
          <w:rFonts w:ascii="Arial" w:hAnsi="Arial" w:cs="Arial"/>
          <w:sz w:val="22"/>
          <w:szCs w:val="22"/>
        </w:rPr>
        <w:t xml:space="preserve"> κατά </w:t>
      </w:r>
      <w:r w:rsidR="004348CA">
        <w:rPr>
          <w:rFonts w:ascii="Arial" w:hAnsi="Arial" w:cs="Arial"/>
          <w:sz w:val="22"/>
          <w:szCs w:val="22"/>
        </w:rPr>
        <w:t>29,7</w:t>
      </w:r>
      <w:r w:rsidR="0070262D">
        <w:rPr>
          <w:rFonts w:ascii="Arial" w:hAnsi="Arial" w:cs="Arial"/>
          <w:sz w:val="22"/>
          <w:szCs w:val="22"/>
        </w:rPr>
        <w:t xml:space="preserve">% </w:t>
      </w:r>
      <w:r w:rsidR="001D0E45">
        <w:rPr>
          <w:rFonts w:ascii="Arial" w:hAnsi="Arial" w:cs="Arial"/>
          <w:sz w:val="22"/>
          <w:szCs w:val="22"/>
        </w:rPr>
        <w:t>εμφάνι</w:t>
      </w:r>
      <w:r w:rsidR="0070262D">
        <w:rPr>
          <w:rFonts w:ascii="Arial" w:hAnsi="Arial" w:cs="Arial"/>
          <w:sz w:val="22"/>
          <w:szCs w:val="22"/>
        </w:rPr>
        <w:t xml:space="preserve">σε </w:t>
      </w:r>
      <w:r w:rsidR="00DA430D">
        <w:rPr>
          <w:rFonts w:ascii="Arial" w:hAnsi="Arial" w:cs="Arial"/>
          <w:sz w:val="22"/>
          <w:szCs w:val="22"/>
        </w:rPr>
        <w:t xml:space="preserve">και </w:t>
      </w:r>
      <w:r w:rsidR="0070262D" w:rsidRPr="0045118C">
        <w:rPr>
          <w:rFonts w:ascii="Arial" w:hAnsi="Arial" w:cs="Arial"/>
          <w:sz w:val="22"/>
          <w:szCs w:val="22"/>
        </w:rPr>
        <w:t xml:space="preserve">η ταξιδιωτική κίνηση από την Ιταλία, η οποία διαμορφώθηκε σε </w:t>
      </w:r>
      <w:r w:rsidR="004348CA">
        <w:rPr>
          <w:rFonts w:ascii="Arial" w:hAnsi="Arial" w:cs="Arial"/>
          <w:sz w:val="22"/>
          <w:szCs w:val="22"/>
        </w:rPr>
        <w:t>305,3</w:t>
      </w:r>
      <w:r w:rsidR="0070262D" w:rsidRPr="0045118C">
        <w:rPr>
          <w:rFonts w:ascii="Arial" w:hAnsi="Arial" w:cs="Arial"/>
          <w:sz w:val="22"/>
          <w:szCs w:val="22"/>
        </w:rPr>
        <w:t xml:space="preserve"> χιλ. ταξιδιώτες</w:t>
      </w:r>
      <w:r w:rsidR="007026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203115540"/>
      <w:r>
        <w:rPr>
          <w:rFonts w:ascii="Arial" w:hAnsi="Arial" w:cs="Arial"/>
          <w:sz w:val="22"/>
          <w:szCs w:val="22"/>
        </w:rPr>
        <w:t xml:space="preserve">Αναφορικά με τις χώρες εκτός της ΕΕ-27, η ταξιδιωτική κίνηση από το Ηνωμένο Βασίλειο </w:t>
      </w:r>
      <w:r w:rsidR="004348CA">
        <w:rPr>
          <w:rFonts w:ascii="Arial" w:hAnsi="Arial" w:cs="Arial"/>
          <w:sz w:val="22"/>
          <w:szCs w:val="22"/>
        </w:rPr>
        <w:t>αυξήθηκε</w:t>
      </w:r>
      <w:r w:rsidR="00423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4348CA">
        <w:rPr>
          <w:rFonts w:ascii="Arial" w:hAnsi="Arial" w:cs="Arial"/>
          <w:sz w:val="22"/>
          <w:szCs w:val="22"/>
        </w:rPr>
        <w:t>14,9</w:t>
      </w:r>
      <w:r>
        <w:rPr>
          <w:rFonts w:ascii="Arial" w:hAnsi="Arial" w:cs="Arial"/>
          <w:sz w:val="22"/>
          <w:szCs w:val="22"/>
        </w:rPr>
        <w:t xml:space="preserve">% και διαμορφώθηκε σε </w:t>
      </w:r>
      <w:r w:rsidR="004348CA">
        <w:rPr>
          <w:rFonts w:ascii="Arial" w:hAnsi="Arial" w:cs="Arial"/>
          <w:sz w:val="22"/>
          <w:szCs w:val="22"/>
        </w:rPr>
        <w:t>811</w:t>
      </w:r>
      <w:r w:rsidR="00DA430D">
        <w:rPr>
          <w:rFonts w:ascii="Arial" w:hAnsi="Arial" w:cs="Arial"/>
          <w:sz w:val="22"/>
          <w:szCs w:val="22"/>
        </w:rPr>
        <w:t>,2</w:t>
      </w:r>
      <w:r>
        <w:rPr>
          <w:rFonts w:ascii="Arial" w:hAnsi="Arial" w:cs="Arial"/>
          <w:sz w:val="22"/>
          <w:szCs w:val="22"/>
        </w:rPr>
        <w:t xml:space="preserve"> χιλ. ταξιδιώτες</w:t>
      </w:r>
      <w:r w:rsidR="001841AE">
        <w:rPr>
          <w:rFonts w:ascii="Arial" w:hAnsi="Arial" w:cs="Arial"/>
          <w:sz w:val="22"/>
          <w:szCs w:val="22"/>
        </w:rPr>
        <w:t>,</w:t>
      </w:r>
      <w:r w:rsidR="0064560A">
        <w:rPr>
          <w:rFonts w:ascii="Arial" w:hAnsi="Arial" w:cs="Arial"/>
          <w:sz w:val="22"/>
          <w:szCs w:val="22"/>
        </w:rPr>
        <w:t xml:space="preserve"> </w:t>
      </w:r>
      <w:r w:rsidR="004348CA">
        <w:rPr>
          <w:rFonts w:ascii="Arial" w:hAnsi="Arial" w:cs="Arial"/>
          <w:sz w:val="22"/>
          <w:szCs w:val="22"/>
        </w:rPr>
        <w:t>όπως και</w:t>
      </w:r>
      <w:r w:rsidR="000F4B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αυτή από τις ΗΠΑ κατά </w:t>
      </w:r>
      <w:r w:rsidR="004348CA">
        <w:rPr>
          <w:rFonts w:ascii="Arial" w:hAnsi="Arial" w:cs="Arial"/>
          <w:sz w:val="22"/>
          <w:szCs w:val="22"/>
        </w:rPr>
        <w:t>24,1</w:t>
      </w:r>
      <w:r>
        <w:rPr>
          <w:rFonts w:ascii="Arial" w:hAnsi="Arial" w:cs="Arial"/>
          <w:sz w:val="22"/>
          <w:szCs w:val="22"/>
        </w:rPr>
        <w:t xml:space="preserve">% σε </w:t>
      </w:r>
      <w:r w:rsidR="004348CA" w:rsidRPr="00D22E63">
        <w:rPr>
          <w:rFonts w:ascii="Arial" w:hAnsi="Arial" w:cs="Arial"/>
          <w:sz w:val="22"/>
          <w:szCs w:val="22"/>
        </w:rPr>
        <w:t>230,8</w:t>
      </w:r>
      <w:r w:rsidR="005D2B90" w:rsidRPr="00D22E63">
        <w:rPr>
          <w:rFonts w:ascii="Arial" w:hAnsi="Arial" w:cs="Arial"/>
          <w:sz w:val="22"/>
          <w:szCs w:val="22"/>
        </w:rPr>
        <w:t xml:space="preserve"> </w:t>
      </w:r>
      <w:r w:rsidRPr="00D22E63">
        <w:rPr>
          <w:rFonts w:ascii="Arial" w:hAnsi="Arial" w:cs="Arial"/>
          <w:sz w:val="22"/>
          <w:szCs w:val="22"/>
        </w:rPr>
        <w:t>χιλ</w:t>
      </w:r>
      <w:r>
        <w:rPr>
          <w:rFonts w:ascii="Arial" w:hAnsi="Arial" w:cs="Arial"/>
          <w:sz w:val="22"/>
          <w:szCs w:val="22"/>
        </w:rPr>
        <w:t>. ταξιδιώτες</w:t>
      </w:r>
      <w:bookmarkEnd w:id="2"/>
      <w:r>
        <w:rPr>
          <w:rFonts w:ascii="Arial" w:hAnsi="Arial" w:cs="Arial"/>
          <w:sz w:val="22"/>
          <w:szCs w:val="22"/>
        </w:rPr>
        <w:t xml:space="preserve">. Τέλος, </w:t>
      </w:r>
      <w:r w:rsidR="00B04D71">
        <w:rPr>
          <w:rFonts w:ascii="Arial" w:hAnsi="Arial" w:cs="Arial"/>
          <w:sz w:val="22"/>
          <w:szCs w:val="22"/>
        </w:rPr>
        <w:t>η</w:t>
      </w:r>
      <w:r>
        <w:rPr>
          <w:rFonts w:ascii="Arial" w:hAnsi="Arial" w:cs="Arial"/>
          <w:sz w:val="22"/>
          <w:szCs w:val="22"/>
        </w:rPr>
        <w:t xml:space="preserve"> ταξιδιωτική κίνηση από τη Ρωσία</w:t>
      </w:r>
      <w:r w:rsidR="00B04D71">
        <w:rPr>
          <w:rFonts w:ascii="Arial" w:hAnsi="Arial" w:cs="Arial"/>
          <w:sz w:val="22"/>
          <w:szCs w:val="22"/>
        </w:rPr>
        <w:t xml:space="preserve"> </w:t>
      </w:r>
      <w:r w:rsidR="00DA430D">
        <w:rPr>
          <w:rFonts w:ascii="Arial" w:hAnsi="Arial" w:cs="Arial"/>
          <w:sz w:val="22"/>
          <w:szCs w:val="22"/>
        </w:rPr>
        <w:t>αυξήθηκε</w:t>
      </w:r>
      <w:r w:rsidR="00B04D71">
        <w:rPr>
          <w:rFonts w:ascii="Arial" w:hAnsi="Arial" w:cs="Arial"/>
          <w:sz w:val="22"/>
          <w:szCs w:val="22"/>
        </w:rPr>
        <w:t xml:space="preserve"> σε </w:t>
      </w:r>
      <w:r w:rsidR="004034F7" w:rsidRPr="00224562">
        <w:rPr>
          <w:rFonts w:ascii="Arial" w:hAnsi="Arial" w:cs="Arial"/>
          <w:sz w:val="22"/>
          <w:szCs w:val="22"/>
        </w:rPr>
        <w:t>3</w:t>
      </w:r>
      <w:r w:rsidR="00C3791A">
        <w:rPr>
          <w:rFonts w:ascii="Arial" w:hAnsi="Arial" w:cs="Arial"/>
          <w:sz w:val="22"/>
          <w:szCs w:val="22"/>
        </w:rPr>
        <w:t>,0</w:t>
      </w:r>
      <w:r w:rsidR="00B04D71">
        <w:rPr>
          <w:rFonts w:ascii="Arial" w:hAnsi="Arial" w:cs="Arial"/>
          <w:sz w:val="22"/>
          <w:szCs w:val="22"/>
        </w:rPr>
        <w:t xml:space="preserve"> χιλ</w:t>
      </w:r>
      <w:r>
        <w:rPr>
          <w:rFonts w:ascii="Arial" w:hAnsi="Arial" w:cs="Arial"/>
          <w:sz w:val="22"/>
          <w:szCs w:val="22"/>
        </w:rPr>
        <w:t>.</w:t>
      </w:r>
      <w:r w:rsidR="00B04D71">
        <w:rPr>
          <w:rFonts w:ascii="Arial" w:hAnsi="Arial" w:cs="Arial"/>
          <w:sz w:val="22"/>
          <w:szCs w:val="22"/>
        </w:rPr>
        <w:t xml:space="preserve"> ταξιδιώτες.</w:t>
      </w:r>
    </w:p>
    <w:p w14:paraId="7AE4EBAB" w14:textId="3E0C2992" w:rsidR="00B83A3E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περίοδο </w:t>
      </w:r>
      <w:r w:rsidR="00DE5A38">
        <w:rPr>
          <w:rFonts w:ascii="Arial" w:hAnsi="Arial" w:cs="Arial"/>
          <w:sz w:val="22"/>
          <w:szCs w:val="22"/>
          <w:u w:val="single"/>
        </w:rPr>
        <w:t>Ιανουαρίου-</w:t>
      </w:r>
      <w:r w:rsidR="00CE0083">
        <w:rPr>
          <w:rFonts w:ascii="Arial" w:hAnsi="Arial" w:cs="Arial"/>
          <w:sz w:val="22"/>
          <w:szCs w:val="22"/>
          <w:u w:val="single"/>
        </w:rPr>
        <w:t>Ιουνίου</w:t>
      </w:r>
      <w:r w:rsidR="00DE5A38">
        <w:rPr>
          <w:rFonts w:ascii="Arial" w:hAnsi="Arial" w:cs="Arial"/>
          <w:sz w:val="22"/>
          <w:szCs w:val="22"/>
          <w:u w:val="single"/>
        </w:rPr>
        <w:t xml:space="preserve"> </w:t>
      </w:r>
      <w:r w:rsidR="0044335A">
        <w:rPr>
          <w:rFonts w:ascii="Arial" w:hAnsi="Arial" w:cs="Arial"/>
          <w:sz w:val="22"/>
          <w:szCs w:val="22"/>
          <w:u w:val="single"/>
        </w:rPr>
        <w:t>2025</w:t>
      </w:r>
      <w:r w:rsidR="006E570F" w:rsidRPr="006E570F">
        <w:rPr>
          <w:rFonts w:ascii="Arial" w:hAnsi="Arial" w:cs="Arial"/>
          <w:sz w:val="22"/>
          <w:szCs w:val="22"/>
          <w:u w:val="single"/>
        </w:rPr>
        <w:t>,</w:t>
      </w:r>
      <w:r w:rsidRPr="00610F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η εισερχόμενη ταξιδιωτική κίνηση αυξήθηκε κατά </w:t>
      </w:r>
      <w:r w:rsidR="004348CA">
        <w:rPr>
          <w:rFonts w:ascii="Arial" w:hAnsi="Arial" w:cs="Arial"/>
          <w:sz w:val="22"/>
          <w:szCs w:val="22"/>
        </w:rPr>
        <w:t>0,6</w:t>
      </w:r>
      <w:r>
        <w:rPr>
          <w:rFonts w:ascii="Arial" w:hAnsi="Arial" w:cs="Arial"/>
          <w:sz w:val="22"/>
          <w:szCs w:val="22"/>
        </w:rPr>
        <w:t xml:space="preserve">% και διαμορφώθηκε σε </w:t>
      </w:r>
      <w:r w:rsidR="00F72A94">
        <w:rPr>
          <w:rFonts w:ascii="Arial" w:hAnsi="Arial" w:cs="Arial"/>
          <w:sz w:val="22"/>
          <w:szCs w:val="22"/>
        </w:rPr>
        <w:t>11.691,9</w:t>
      </w:r>
      <w:r>
        <w:rPr>
          <w:rFonts w:ascii="Arial" w:hAnsi="Arial" w:cs="Arial"/>
          <w:sz w:val="22"/>
          <w:szCs w:val="22"/>
        </w:rPr>
        <w:t xml:space="preserve"> χιλ. ταξιδιώτες, έναντι </w:t>
      </w:r>
      <w:r w:rsidR="00F72A94">
        <w:rPr>
          <w:rFonts w:ascii="Arial" w:hAnsi="Arial" w:cs="Arial"/>
          <w:sz w:val="22"/>
          <w:szCs w:val="22"/>
        </w:rPr>
        <w:t>11.625,6</w:t>
      </w:r>
      <w:r>
        <w:rPr>
          <w:rFonts w:ascii="Arial" w:hAnsi="Arial" w:cs="Arial"/>
          <w:sz w:val="22"/>
          <w:szCs w:val="22"/>
        </w:rPr>
        <w:t xml:space="preserve"> χιλ. ταξιδιωτών την αντίστοιχη περίοδο του </w:t>
      </w:r>
      <w:r w:rsidR="0044335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. Ειδικότερα, η ταξιδιωτική κίνηση μέσω αεροδρομίων </w:t>
      </w:r>
      <w:r w:rsidR="00EC36BD">
        <w:rPr>
          <w:rFonts w:ascii="Arial" w:hAnsi="Arial" w:cs="Arial"/>
          <w:sz w:val="22"/>
          <w:szCs w:val="22"/>
        </w:rPr>
        <w:t xml:space="preserve">κατέγραψε άνοδο </w:t>
      </w:r>
      <w:r>
        <w:rPr>
          <w:rFonts w:ascii="Arial" w:hAnsi="Arial" w:cs="Arial"/>
          <w:sz w:val="22"/>
          <w:szCs w:val="22"/>
        </w:rPr>
        <w:t xml:space="preserve">κατά </w:t>
      </w:r>
      <w:r w:rsidR="00DD22CE">
        <w:rPr>
          <w:rFonts w:ascii="Arial" w:hAnsi="Arial" w:cs="Arial"/>
          <w:sz w:val="22"/>
          <w:szCs w:val="22"/>
        </w:rPr>
        <w:t>4,9</w:t>
      </w:r>
      <w:r>
        <w:rPr>
          <w:rFonts w:ascii="Arial" w:hAnsi="Arial" w:cs="Arial"/>
          <w:sz w:val="22"/>
          <w:szCs w:val="22"/>
        </w:rPr>
        <w:t xml:space="preserve">%, ενώ αυτή μέσω οδικών </w:t>
      </w:r>
      <w:r w:rsidR="00E74C0A">
        <w:rPr>
          <w:rFonts w:ascii="Arial" w:hAnsi="Arial" w:cs="Arial"/>
          <w:sz w:val="22"/>
          <w:szCs w:val="22"/>
        </w:rPr>
        <w:t xml:space="preserve">συνοριακών </w:t>
      </w:r>
      <w:r>
        <w:rPr>
          <w:rFonts w:ascii="Arial" w:hAnsi="Arial" w:cs="Arial"/>
          <w:sz w:val="22"/>
          <w:szCs w:val="22"/>
        </w:rPr>
        <w:t xml:space="preserve">σταθμών </w:t>
      </w:r>
      <w:r w:rsidR="00F4263A">
        <w:rPr>
          <w:rFonts w:ascii="Arial" w:hAnsi="Arial" w:cs="Arial"/>
          <w:sz w:val="22"/>
          <w:szCs w:val="22"/>
        </w:rPr>
        <w:t xml:space="preserve">μειώθηκε </w:t>
      </w:r>
      <w:r>
        <w:rPr>
          <w:rFonts w:ascii="Arial" w:hAnsi="Arial" w:cs="Arial"/>
          <w:sz w:val="22"/>
          <w:szCs w:val="22"/>
        </w:rPr>
        <w:t xml:space="preserve">κατά </w:t>
      </w:r>
      <w:r w:rsidR="00DD22CE">
        <w:rPr>
          <w:rFonts w:ascii="Arial" w:hAnsi="Arial" w:cs="Arial"/>
          <w:sz w:val="22"/>
          <w:szCs w:val="22"/>
        </w:rPr>
        <w:t>13,1</w:t>
      </w:r>
      <w:r>
        <w:rPr>
          <w:rFonts w:ascii="Arial" w:hAnsi="Arial" w:cs="Arial"/>
          <w:sz w:val="22"/>
          <w:szCs w:val="22"/>
        </w:rPr>
        <w:t>%. Κατά την επισκοπούμενη περίοδο</w:t>
      </w:r>
      <w:r w:rsidR="00DC68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η ταξιδιωτική κίνηση από τις χώρες της ΕΕ-27 διαμορφώθηκε σε </w:t>
      </w:r>
      <w:r w:rsidR="00F72A94">
        <w:rPr>
          <w:rFonts w:ascii="Arial" w:hAnsi="Arial" w:cs="Arial"/>
          <w:sz w:val="22"/>
          <w:szCs w:val="22"/>
        </w:rPr>
        <w:t>6.412,9</w:t>
      </w:r>
      <w:r>
        <w:rPr>
          <w:rFonts w:ascii="Arial" w:hAnsi="Arial" w:cs="Arial"/>
          <w:sz w:val="22"/>
          <w:szCs w:val="22"/>
        </w:rPr>
        <w:t xml:space="preserve"> χιλ. ταξιδιώτες, </w:t>
      </w:r>
      <w:r w:rsidRPr="00870363">
        <w:rPr>
          <w:rFonts w:ascii="Arial" w:hAnsi="Arial" w:cs="Arial"/>
          <w:sz w:val="22"/>
          <w:szCs w:val="22"/>
        </w:rPr>
        <w:t>παρουσιάζοντας</w:t>
      </w:r>
      <w:r>
        <w:rPr>
          <w:rFonts w:ascii="Arial" w:hAnsi="Arial" w:cs="Arial"/>
          <w:sz w:val="22"/>
          <w:szCs w:val="22"/>
        </w:rPr>
        <w:t xml:space="preserve"> </w:t>
      </w:r>
      <w:r w:rsidR="004A4459">
        <w:rPr>
          <w:rFonts w:ascii="Arial" w:hAnsi="Arial" w:cs="Arial"/>
          <w:sz w:val="22"/>
          <w:szCs w:val="22"/>
        </w:rPr>
        <w:t>μείωση</w:t>
      </w:r>
      <w:r>
        <w:rPr>
          <w:rFonts w:ascii="Arial" w:hAnsi="Arial" w:cs="Arial"/>
          <w:sz w:val="22"/>
          <w:szCs w:val="22"/>
        </w:rPr>
        <w:t xml:space="preserve"> κατά </w:t>
      </w:r>
      <w:r w:rsidR="00F72A94">
        <w:rPr>
          <w:rFonts w:ascii="Arial" w:hAnsi="Arial" w:cs="Arial"/>
          <w:sz w:val="22"/>
          <w:szCs w:val="22"/>
        </w:rPr>
        <w:t>6,3</w:t>
      </w:r>
      <w:r>
        <w:rPr>
          <w:rFonts w:ascii="Arial" w:hAnsi="Arial" w:cs="Arial"/>
          <w:sz w:val="22"/>
          <w:szCs w:val="22"/>
        </w:rPr>
        <w:t xml:space="preserve">% σε σύγκριση με την αντίστοιχη περίοδο του </w:t>
      </w:r>
      <w:r w:rsidR="0044335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, ενώ η ταξιδιωτική κίνηση από τις </w:t>
      </w:r>
      <w:r w:rsidR="00F4263A">
        <w:rPr>
          <w:rFonts w:ascii="Arial" w:hAnsi="Arial" w:cs="Arial"/>
          <w:sz w:val="22"/>
          <w:szCs w:val="22"/>
        </w:rPr>
        <w:t>λοιπές χώρες</w:t>
      </w:r>
      <w:r w:rsidR="004A44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αυξήθηκε κατά </w:t>
      </w:r>
      <w:r w:rsidR="00F72A94">
        <w:rPr>
          <w:rFonts w:ascii="Arial" w:hAnsi="Arial" w:cs="Arial"/>
          <w:sz w:val="22"/>
          <w:szCs w:val="22"/>
        </w:rPr>
        <w:t>10,5</w:t>
      </w:r>
      <w:r>
        <w:rPr>
          <w:rFonts w:ascii="Arial" w:hAnsi="Arial" w:cs="Arial"/>
          <w:sz w:val="22"/>
          <w:szCs w:val="22"/>
        </w:rPr>
        <w:t xml:space="preserve">% και διαμορφώθηκε σε </w:t>
      </w:r>
      <w:r w:rsidR="00F72A94">
        <w:rPr>
          <w:rFonts w:ascii="Arial" w:hAnsi="Arial" w:cs="Arial"/>
          <w:sz w:val="22"/>
          <w:szCs w:val="22"/>
        </w:rPr>
        <w:t>5.278,9</w:t>
      </w:r>
      <w:r>
        <w:rPr>
          <w:rFonts w:ascii="Arial" w:hAnsi="Arial" w:cs="Arial"/>
          <w:sz w:val="22"/>
          <w:szCs w:val="22"/>
        </w:rPr>
        <w:t xml:space="preserve"> χιλ. ταξιδιώτες. Η ταξιδιωτική κίνηση από τις χώρες της ζώνης του ευρώ </w:t>
      </w:r>
      <w:r w:rsidR="00F72A94">
        <w:rPr>
          <w:rFonts w:ascii="Arial" w:hAnsi="Arial" w:cs="Arial"/>
          <w:sz w:val="22"/>
          <w:szCs w:val="22"/>
        </w:rPr>
        <w:t>αυξήθηκε</w:t>
      </w:r>
      <w:r w:rsidR="00EC36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F72A94">
        <w:rPr>
          <w:rFonts w:ascii="Arial" w:hAnsi="Arial" w:cs="Arial"/>
          <w:sz w:val="22"/>
          <w:szCs w:val="22"/>
        </w:rPr>
        <w:t>2,4</w:t>
      </w:r>
      <w:r>
        <w:rPr>
          <w:rFonts w:ascii="Arial" w:hAnsi="Arial" w:cs="Arial"/>
          <w:sz w:val="22"/>
          <w:szCs w:val="22"/>
        </w:rPr>
        <w:t xml:space="preserve">%, ενώ η ταξιδιωτική κίνηση από τις χώρες της ΕΕ-27 εκτός της ζώνης του ευρώ </w:t>
      </w:r>
      <w:r w:rsidR="004A4459">
        <w:rPr>
          <w:rFonts w:ascii="Arial" w:hAnsi="Arial" w:cs="Arial"/>
          <w:sz w:val="22"/>
          <w:szCs w:val="22"/>
        </w:rPr>
        <w:t>μειώ</w:t>
      </w:r>
      <w:r>
        <w:rPr>
          <w:rFonts w:ascii="Arial" w:hAnsi="Arial" w:cs="Arial"/>
          <w:sz w:val="22"/>
          <w:szCs w:val="22"/>
        </w:rPr>
        <w:t xml:space="preserve">θηκε κατά </w:t>
      </w:r>
      <w:r w:rsidR="00F72A94">
        <w:rPr>
          <w:rFonts w:ascii="Arial" w:hAnsi="Arial" w:cs="Arial"/>
          <w:sz w:val="22"/>
          <w:szCs w:val="22"/>
        </w:rPr>
        <w:t>27,5</w:t>
      </w:r>
      <w:r>
        <w:rPr>
          <w:rFonts w:ascii="Arial" w:hAnsi="Arial" w:cs="Arial"/>
          <w:sz w:val="22"/>
          <w:szCs w:val="22"/>
        </w:rPr>
        <w:t>%.</w:t>
      </w:r>
    </w:p>
    <w:p w14:paraId="6BDC2238" w14:textId="44DCA184" w:rsidR="007E3B77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Ειδικότερα, η ταξιδιωτική κίνηση από τη Γερμανία </w:t>
      </w:r>
      <w:r w:rsidR="00F72A94">
        <w:rPr>
          <w:rFonts w:ascii="Arial" w:hAnsi="Arial" w:cs="Arial"/>
          <w:sz w:val="22"/>
          <w:szCs w:val="22"/>
        </w:rPr>
        <w:t>εμφάνισε</w:t>
      </w:r>
      <w:r w:rsidR="00F34446">
        <w:rPr>
          <w:rFonts w:ascii="Arial" w:hAnsi="Arial" w:cs="Arial"/>
          <w:sz w:val="22"/>
          <w:szCs w:val="22"/>
        </w:rPr>
        <w:t xml:space="preserve"> άνοδο</w:t>
      </w:r>
      <w:r>
        <w:rPr>
          <w:rFonts w:ascii="Arial" w:hAnsi="Arial" w:cs="Arial"/>
          <w:sz w:val="22"/>
          <w:szCs w:val="22"/>
        </w:rPr>
        <w:t xml:space="preserve"> κατά </w:t>
      </w:r>
      <w:r w:rsidR="00F72A94">
        <w:rPr>
          <w:rFonts w:ascii="Arial" w:hAnsi="Arial" w:cs="Arial"/>
          <w:sz w:val="22"/>
          <w:szCs w:val="22"/>
        </w:rPr>
        <w:t>4,7</w:t>
      </w:r>
      <w:r>
        <w:rPr>
          <w:rFonts w:ascii="Arial" w:hAnsi="Arial" w:cs="Arial"/>
          <w:sz w:val="22"/>
          <w:szCs w:val="22"/>
        </w:rPr>
        <w:t xml:space="preserve">% και διαμορφώθηκε σε </w:t>
      </w:r>
      <w:r w:rsidR="00E0624A">
        <w:rPr>
          <w:rFonts w:ascii="Arial" w:hAnsi="Arial" w:cs="Arial"/>
          <w:sz w:val="22"/>
          <w:szCs w:val="22"/>
        </w:rPr>
        <w:t>1.</w:t>
      </w:r>
      <w:r w:rsidR="00F72A94">
        <w:rPr>
          <w:rFonts w:ascii="Arial" w:hAnsi="Arial" w:cs="Arial"/>
          <w:sz w:val="22"/>
          <w:szCs w:val="22"/>
        </w:rPr>
        <w:t>849,0</w:t>
      </w:r>
      <w:r>
        <w:rPr>
          <w:rFonts w:ascii="Arial" w:hAnsi="Arial" w:cs="Arial"/>
          <w:sz w:val="22"/>
          <w:szCs w:val="22"/>
        </w:rPr>
        <w:t xml:space="preserve"> χιλ. ταξιδιώτες, ενώ αυτή από τη Γαλλία μειώθηκε κατά </w:t>
      </w:r>
      <w:r w:rsidR="00F72A94">
        <w:rPr>
          <w:rFonts w:ascii="Arial" w:hAnsi="Arial" w:cs="Arial"/>
          <w:sz w:val="22"/>
          <w:szCs w:val="22"/>
        </w:rPr>
        <w:t>9,8</w:t>
      </w:r>
      <w:r>
        <w:rPr>
          <w:rFonts w:ascii="Arial" w:hAnsi="Arial" w:cs="Arial"/>
          <w:sz w:val="22"/>
          <w:szCs w:val="22"/>
        </w:rPr>
        <w:t xml:space="preserve">% και διαμορφώθηκε σε </w:t>
      </w:r>
      <w:r w:rsidR="00F72A94">
        <w:rPr>
          <w:rFonts w:ascii="Arial" w:hAnsi="Arial" w:cs="Arial"/>
          <w:sz w:val="22"/>
          <w:szCs w:val="22"/>
        </w:rPr>
        <w:t>610,1</w:t>
      </w:r>
      <w:r>
        <w:rPr>
          <w:rFonts w:ascii="Arial" w:hAnsi="Arial" w:cs="Arial"/>
          <w:sz w:val="22"/>
          <w:szCs w:val="22"/>
        </w:rPr>
        <w:t xml:space="preserve"> χιλ. ταξιδιώτες.</w:t>
      </w:r>
      <w:r w:rsidR="004A4459" w:rsidRPr="004A4459">
        <w:rPr>
          <w:rFonts w:ascii="Arial" w:hAnsi="Arial" w:cs="Arial"/>
          <w:sz w:val="22"/>
          <w:szCs w:val="22"/>
        </w:rPr>
        <w:t xml:space="preserve"> </w:t>
      </w:r>
      <w:r w:rsidR="00F72A94">
        <w:rPr>
          <w:rFonts w:ascii="Arial" w:hAnsi="Arial" w:cs="Arial"/>
          <w:sz w:val="22"/>
          <w:szCs w:val="22"/>
        </w:rPr>
        <w:t>Άνοδο</w:t>
      </w:r>
      <w:r w:rsidR="004A4459" w:rsidRPr="0045118C">
        <w:rPr>
          <w:rFonts w:ascii="Arial" w:hAnsi="Arial" w:cs="Arial"/>
          <w:sz w:val="22"/>
          <w:szCs w:val="22"/>
        </w:rPr>
        <w:t xml:space="preserve"> κατά </w:t>
      </w:r>
      <w:r w:rsidR="00F72A94">
        <w:rPr>
          <w:rFonts w:ascii="Arial" w:hAnsi="Arial" w:cs="Arial"/>
          <w:sz w:val="22"/>
          <w:szCs w:val="22"/>
        </w:rPr>
        <w:t>4,9</w:t>
      </w:r>
      <w:r w:rsidR="004A4459" w:rsidRPr="0045118C">
        <w:rPr>
          <w:rFonts w:ascii="Arial" w:hAnsi="Arial" w:cs="Arial"/>
          <w:sz w:val="22"/>
          <w:szCs w:val="22"/>
        </w:rPr>
        <w:t>%</w:t>
      </w:r>
      <w:r w:rsidR="004A4459">
        <w:rPr>
          <w:rFonts w:ascii="Arial" w:hAnsi="Arial" w:cs="Arial"/>
          <w:sz w:val="22"/>
          <w:szCs w:val="22"/>
        </w:rPr>
        <w:t xml:space="preserve"> </w:t>
      </w:r>
      <w:r w:rsidR="004A4459" w:rsidRPr="0045118C">
        <w:rPr>
          <w:rFonts w:ascii="Arial" w:hAnsi="Arial" w:cs="Arial"/>
          <w:sz w:val="22"/>
          <w:szCs w:val="22"/>
        </w:rPr>
        <w:t>σημείωσε</w:t>
      </w:r>
      <w:r w:rsidR="00276A39">
        <w:rPr>
          <w:rFonts w:ascii="Arial" w:hAnsi="Arial" w:cs="Arial"/>
          <w:sz w:val="22"/>
          <w:szCs w:val="22"/>
        </w:rPr>
        <w:t xml:space="preserve"> </w:t>
      </w:r>
      <w:r w:rsidR="004A4459" w:rsidRPr="0045118C">
        <w:rPr>
          <w:rFonts w:ascii="Arial" w:hAnsi="Arial" w:cs="Arial"/>
          <w:sz w:val="22"/>
          <w:szCs w:val="22"/>
        </w:rPr>
        <w:t xml:space="preserve">η ταξιδιωτική κίνηση από </w:t>
      </w:r>
      <w:r w:rsidR="004A4459" w:rsidRPr="0045118C">
        <w:rPr>
          <w:rFonts w:ascii="Arial" w:hAnsi="Arial" w:cs="Arial"/>
          <w:sz w:val="22"/>
          <w:szCs w:val="22"/>
        </w:rPr>
        <w:lastRenderedPageBreak/>
        <w:t>την Ιταλία</w:t>
      </w:r>
      <w:r w:rsidR="004A4459">
        <w:rPr>
          <w:rFonts w:ascii="Arial" w:hAnsi="Arial" w:cs="Arial"/>
          <w:sz w:val="22"/>
          <w:szCs w:val="22"/>
        </w:rPr>
        <w:t>, η οποία</w:t>
      </w:r>
      <w:r w:rsidR="004A4459" w:rsidRPr="0045118C">
        <w:rPr>
          <w:rFonts w:ascii="Arial" w:hAnsi="Arial" w:cs="Arial"/>
          <w:sz w:val="22"/>
          <w:szCs w:val="22"/>
        </w:rPr>
        <w:t xml:space="preserve"> διαμορφώθηκε σε </w:t>
      </w:r>
      <w:r w:rsidR="00F72A94">
        <w:rPr>
          <w:rFonts w:ascii="Arial" w:hAnsi="Arial" w:cs="Arial"/>
          <w:sz w:val="22"/>
          <w:szCs w:val="22"/>
        </w:rPr>
        <w:t>617,2</w:t>
      </w:r>
      <w:r w:rsidR="004A4459">
        <w:rPr>
          <w:rFonts w:ascii="Arial" w:hAnsi="Arial" w:cs="Arial"/>
          <w:sz w:val="22"/>
          <w:szCs w:val="22"/>
        </w:rPr>
        <w:t> χιλ. ταξιδιώτες</w:t>
      </w:r>
      <w:r w:rsidR="00B83A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Αναφορικά με τις χώρες εκτός της ΕΕ</w:t>
      </w:r>
      <w:r>
        <w:rPr>
          <w:rFonts w:ascii="Arial" w:hAnsi="Arial" w:cs="Arial"/>
          <w:sz w:val="22"/>
          <w:szCs w:val="22"/>
        </w:rPr>
        <w:noBreakHyphen/>
        <w:t xml:space="preserve">27, η ταξιδιωτική κίνηση από το Ηνωμένο Βασίλειο </w:t>
      </w:r>
      <w:r w:rsidR="004A4459">
        <w:rPr>
          <w:rFonts w:ascii="Arial" w:hAnsi="Arial" w:cs="Arial"/>
          <w:sz w:val="22"/>
          <w:szCs w:val="22"/>
        </w:rPr>
        <w:t>αυξή</w:t>
      </w:r>
      <w:r>
        <w:rPr>
          <w:rFonts w:ascii="Arial" w:hAnsi="Arial" w:cs="Arial"/>
          <w:sz w:val="22"/>
          <w:szCs w:val="22"/>
        </w:rPr>
        <w:t xml:space="preserve">θηκε κατά </w:t>
      </w:r>
      <w:r w:rsidR="00F72A94">
        <w:rPr>
          <w:rFonts w:ascii="Arial" w:hAnsi="Arial" w:cs="Arial"/>
          <w:sz w:val="22"/>
          <w:szCs w:val="22"/>
        </w:rPr>
        <w:t>11,0</w:t>
      </w:r>
      <w:r>
        <w:rPr>
          <w:rFonts w:ascii="Arial" w:hAnsi="Arial" w:cs="Arial"/>
          <w:sz w:val="22"/>
          <w:szCs w:val="22"/>
        </w:rPr>
        <w:t xml:space="preserve">% και διαμορφώθηκε σε </w:t>
      </w:r>
      <w:r w:rsidR="00F72A94">
        <w:rPr>
          <w:rFonts w:ascii="Arial" w:hAnsi="Arial" w:cs="Arial"/>
          <w:sz w:val="22"/>
          <w:szCs w:val="22"/>
        </w:rPr>
        <w:t>1.521,9</w:t>
      </w:r>
      <w:r>
        <w:rPr>
          <w:rFonts w:ascii="Arial" w:hAnsi="Arial" w:cs="Arial"/>
          <w:sz w:val="22"/>
          <w:szCs w:val="22"/>
        </w:rPr>
        <w:t xml:space="preserve"> χιλ. ταξιδιώτες</w:t>
      </w:r>
      <w:r w:rsidR="002F48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F48E1">
        <w:rPr>
          <w:rFonts w:ascii="Arial" w:hAnsi="Arial" w:cs="Arial"/>
          <w:sz w:val="22"/>
          <w:szCs w:val="22"/>
        </w:rPr>
        <w:t>ενώ</w:t>
      </w:r>
      <w:r>
        <w:rPr>
          <w:rFonts w:ascii="Arial" w:hAnsi="Arial" w:cs="Arial"/>
          <w:sz w:val="22"/>
          <w:szCs w:val="22"/>
        </w:rPr>
        <w:t xml:space="preserve"> αυτή από τις ΗΠΑ αυξήθηκε κατά </w:t>
      </w:r>
      <w:r w:rsidR="00F72A94">
        <w:rPr>
          <w:rFonts w:ascii="Arial" w:hAnsi="Arial" w:cs="Arial"/>
          <w:sz w:val="22"/>
          <w:szCs w:val="22"/>
        </w:rPr>
        <w:t>20,0</w:t>
      </w:r>
      <w:r>
        <w:rPr>
          <w:rFonts w:ascii="Arial" w:hAnsi="Arial" w:cs="Arial"/>
          <w:sz w:val="22"/>
          <w:szCs w:val="22"/>
        </w:rPr>
        <w:t xml:space="preserve">% σε </w:t>
      </w:r>
      <w:r w:rsidR="00F72A94">
        <w:rPr>
          <w:rFonts w:ascii="Arial" w:hAnsi="Arial" w:cs="Arial"/>
          <w:sz w:val="22"/>
          <w:szCs w:val="22"/>
        </w:rPr>
        <w:t>694,1</w:t>
      </w:r>
      <w:r w:rsidR="0041331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χιλ. ταξιδιώτες. Τέλος, </w:t>
      </w:r>
      <w:r w:rsidR="00B83A3E">
        <w:rPr>
          <w:rFonts w:ascii="Arial" w:hAnsi="Arial" w:cs="Arial"/>
          <w:sz w:val="22"/>
          <w:szCs w:val="22"/>
        </w:rPr>
        <w:t>η</w:t>
      </w:r>
      <w:r>
        <w:rPr>
          <w:rFonts w:ascii="Arial" w:hAnsi="Arial" w:cs="Arial"/>
          <w:sz w:val="22"/>
          <w:szCs w:val="22"/>
        </w:rPr>
        <w:t xml:space="preserve"> ταξιδιωτική κίνηση από τη Ρωσία</w:t>
      </w:r>
      <w:r w:rsidR="00B83A3E">
        <w:rPr>
          <w:rFonts w:ascii="Arial" w:hAnsi="Arial" w:cs="Arial"/>
          <w:sz w:val="22"/>
          <w:szCs w:val="22"/>
        </w:rPr>
        <w:t xml:space="preserve"> </w:t>
      </w:r>
      <w:r w:rsidR="00276A39">
        <w:rPr>
          <w:rFonts w:ascii="Arial" w:hAnsi="Arial" w:cs="Arial"/>
          <w:sz w:val="22"/>
          <w:szCs w:val="22"/>
        </w:rPr>
        <w:t xml:space="preserve">αυξήθηκε </w:t>
      </w:r>
      <w:r w:rsidR="00B83A3E">
        <w:rPr>
          <w:rFonts w:ascii="Arial" w:hAnsi="Arial" w:cs="Arial"/>
          <w:sz w:val="22"/>
          <w:szCs w:val="22"/>
        </w:rPr>
        <w:t xml:space="preserve">σε </w:t>
      </w:r>
      <w:r w:rsidR="00F72A94">
        <w:rPr>
          <w:rFonts w:ascii="Arial" w:hAnsi="Arial" w:cs="Arial"/>
          <w:sz w:val="22"/>
          <w:szCs w:val="22"/>
        </w:rPr>
        <w:t>10,6</w:t>
      </w:r>
      <w:r w:rsidR="00B83A3E">
        <w:rPr>
          <w:rFonts w:ascii="Arial" w:hAnsi="Arial" w:cs="Arial"/>
          <w:sz w:val="22"/>
          <w:szCs w:val="22"/>
        </w:rPr>
        <w:t xml:space="preserve"> χιλ. ταξιδιώτες</w:t>
      </w:r>
      <w:r>
        <w:rPr>
          <w:rFonts w:ascii="Arial" w:hAnsi="Arial" w:cs="Arial"/>
          <w:sz w:val="22"/>
          <w:szCs w:val="22"/>
        </w:rPr>
        <w:t>.</w:t>
      </w:r>
    </w:p>
    <w:p w14:paraId="2C93ED60" w14:textId="77777777" w:rsidR="007E3B77" w:rsidRDefault="007E3B77" w:rsidP="007E3B77">
      <w:pPr>
        <w:spacing w:line="360" w:lineRule="auto"/>
        <w:jc w:val="both"/>
        <w:rPr>
          <w:i/>
          <w:sz w:val="18"/>
          <w:szCs w:val="18"/>
          <w:vertAlign w:val="superscript"/>
          <w:lang w:val="el-GR"/>
        </w:rPr>
      </w:pPr>
    </w:p>
    <w:p w14:paraId="4206509E" w14:textId="77777777" w:rsidR="007E3B77" w:rsidRDefault="007E3B77" w:rsidP="007E3B77">
      <w:pPr>
        <w:spacing w:line="360" w:lineRule="auto"/>
        <w:jc w:val="both"/>
        <w:rPr>
          <w:i/>
          <w:sz w:val="18"/>
          <w:szCs w:val="18"/>
          <w:vertAlign w:val="superscript"/>
          <w:lang w:val="el-GR"/>
        </w:rPr>
      </w:pPr>
    </w:p>
    <w:p w14:paraId="0BA3B503" w14:textId="77777777" w:rsidR="007E3B77" w:rsidRDefault="007E3B77" w:rsidP="007E3B77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b/>
          <w:color w:val="auto"/>
          <w:sz w:val="22"/>
          <w:szCs w:val="22"/>
          <w:u w:val="single"/>
          <w:lang w:val="el-GR"/>
        </w:rPr>
        <w:t>Σημείωση</w:t>
      </w:r>
      <w:r>
        <w:rPr>
          <w:color w:val="002060"/>
          <w:sz w:val="22"/>
          <w:szCs w:val="22"/>
          <w:lang w:val="el-GR"/>
        </w:rPr>
        <w:t>:</w:t>
      </w:r>
    </w:p>
    <w:p w14:paraId="2263EDDD" w14:textId="77777777" w:rsidR="007E3B77" w:rsidRDefault="007E3B77" w:rsidP="007E3B77">
      <w:pPr>
        <w:spacing w:line="360" w:lineRule="auto"/>
        <w:jc w:val="both"/>
        <w:rPr>
          <w:b/>
          <w:sz w:val="22"/>
          <w:szCs w:val="22"/>
          <w:u w:val="single"/>
          <w:lang w:val="el-GR"/>
        </w:rPr>
      </w:pPr>
      <w:r>
        <w:rPr>
          <w:sz w:val="22"/>
          <w:szCs w:val="22"/>
          <w:lang w:val="el-GR"/>
        </w:rPr>
        <w:t>Η εισερχόμενη ταξιδιωτική κίνηση δεν περιλαμβάνει μεγέθη από κρουαζιέρες, πέραν των όσων καταγράφονται από την Έρευνα Συνόρων.</w:t>
      </w:r>
    </w:p>
    <w:p w14:paraId="43D4596B" w14:textId="77777777" w:rsidR="0063183F" w:rsidRDefault="007E3B77" w:rsidP="0063183F">
      <w:pPr>
        <w:spacing w:before="240" w:line="360" w:lineRule="auto"/>
        <w:jc w:val="both"/>
        <w:rPr>
          <w:sz w:val="22"/>
          <w:szCs w:val="22"/>
          <w:lang w:val="el-GR"/>
        </w:rPr>
      </w:pPr>
      <w:r>
        <w:rPr>
          <w:b/>
          <w:sz w:val="22"/>
          <w:szCs w:val="22"/>
          <w:u w:val="single"/>
          <w:lang w:val="el-GR"/>
        </w:rPr>
        <w:t>Περισσότερες πληροφορίες</w:t>
      </w:r>
      <w:r>
        <w:rPr>
          <w:sz w:val="22"/>
          <w:szCs w:val="22"/>
          <w:lang w:val="el-GR"/>
        </w:rPr>
        <w:t>:</w:t>
      </w:r>
    </w:p>
    <w:p w14:paraId="4E795DE7" w14:textId="77777777" w:rsidR="00914912" w:rsidRPr="007D2D2C" w:rsidRDefault="0063183F" w:rsidP="00914912">
      <w:pPr>
        <w:spacing w:before="240" w:line="360" w:lineRule="auto"/>
        <w:jc w:val="both"/>
        <w:rPr>
          <w:sz w:val="22"/>
          <w:szCs w:val="22"/>
          <w:lang w:val="el-GR"/>
        </w:rPr>
      </w:pPr>
      <w:r w:rsidRPr="00147205">
        <w:rPr>
          <w:sz w:val="22"/>
          <w:szCs w:val="22"/>
          <w:lang w:val="el-GR"/>
        </w:rPr>
        <w:t xml:space="preserve">Το επόμενο Δελτίο Τύπου για τις «Εξελίξεις στο ταξιδιωτικό ισοζύγιο πληρωμών» με στοιχεία </w:t>
      </w:r>
      <w:r w:rsidR="00CE0083">
        <w:rPr>
          <w:sz w:val="22"/>
          <w:szCs w:val="22"/>
          <w:lang w:val="el-GR"/>
        </w:rPr>
        <w:t>Ιουλίου</w:t>
      </w:r>
      <w:r w:rsidRPr="00147205">
        <w:rPr>
          <w:sz w:val="22"/>
          <w:szCs w:val="22"/>
          <w:lang w:val="el-GR"/>
        </w:rPr>
        <w:t xml:space="preserve"> 2025 θα δημοσιευθεί στις </w:t>
      </w:r>
      <w:r>
        <w:rPr>
          <w:sz w:val="22"/>
          <w:szCs w:val="22"/>
          <w:lang w:val="el-GR"/>
        </w:rPr>
        <w:t>2</w:t>
      </w:r>
      <w:r w:rsidR="00CE0083">
        <w:rPr>
          <w:sz w:val="22"/>
          <w:szCs w:val="22"/>
          <w:lang w:val="el-GR"/>
        </w:rPr>
        <w:t>2</w:t>
      </w:r>
      <w:r>
        <w:rPr>
          <w:sz w:val="22"/>
          <w:szCs w:val="22"/>
          <w:lang w:val="el-GR"/>
        </w:rPr>
        <w:t xml:space="preserve"> </w:t>
      </w:r>
      <w:r w:rsidR="00CE0083">
        <w:rPr>
          <w:sz w:val="22"/>
          <w:szCs w:val="22"/>
          <w:lang w:val="el-GR"/>
        </w:rPr>
        <w:t>Σεπτεμβρί</w:t>
      </w:r>
      <w:r>
        <w:rPr>
          <w:sz w:val="22"/>
          <w:szCs w:val="22"/>
          <w:lang w:val="el-GR"/>
        </w:rPr>
        <w:t>ου</w:t>
      </w:r>
      <w:r w:rsidRPr="00147205">
        <w:rPr>
          <w:sz w:val="22"/>
          <w:szCs w:val="22"/>
          <w:lang w:val="el-GR"/>
        </w:rPr>
        <w:t xml:space="preserve"> 2025, </w:t>
      </w:r>
      <w:r w:rsidR="00914912" w:rsidRPr="00147205">
        <w:rPr>
          <w:sz w:val="22"/>
          <w:szCs w:val="22"/>
          <w:lang w:val="el-GR"/>
        </w:rPr>
        <w:t xml:space="preserve">σύμφωνα με το </w:t>
      </w:r>
      <w:hyperlink r:id="rId12" w:tgtFrame="_self" w:history="1">
        <w:r w:rsidR="00914912" w:rsidRPr="00147205">
          <w:rPr>
            <w:rStyle w:val="Hyperlink"/>
            <w:sz w:val="22"/>
            <w:szCs w:val="22"/>
            <w:lang w:val="el-GR"/>
          </w:rPr>
          <w:t>Ημερο</w:t>
        </w:r>
        <w:r w:rsidR="00914912" w:rsidRPr="00147205">
          <w:rPr>
            <w:rStyle w:val="Hyperlink"/>
            <w:sz w:val="22"/>
            <w:szCs w:val="22"/>
            <w:lang w:val="el-GR"/>
          </w:rPr>
          <w:t>λ</w:t>
        </w:r>
        <w:r w:rsidR="00914912" w:rsidRPr="00147205">
          <w:rPr>
            <w:rStyle w:val="Hyperlink"/>
            <w:sz w:val="22"/>
            <w:szCs w:val="22"/>
            <w:lang w:val="el-GR"/>
          </w:rPr>
          <w:t>όγιο δημοσίευσης στοιχείων 2025</w:t>
        </w:r>
      </w:hyperlink>
      <w:r w:rsidR="00914912" w:rsidRPr="00147205">
        <w:rPr>
          <w:sz w:val="22"/>
          <w:szCs w:val="22"/>
          <w:lang w:val="el-GR"/>
        </w:rPr>
        <w:t xml:space="preserve">, που έχει αναρτηθεί στον </w:t>
      </w:r>
      <w:proofErr w:type="spellStart"/>
      <w:r w:rsidR="00914912" w:rsidRPr="00147205">
        <w:rPr>
          <w:sz w:val="22"/>
          <w:szCs w:val="22"/>
          <w:lang w:val="el-GR"/>
        </w:rPr>
        <w:t>ιστοχώρο</w:t>
      </w:r>
      <w:proofErr w:type="spellEnd"/>
      <w:r w:rsidR="00914912" w:rsidRPr="00147205">
        <w:rPr>
          <w:sz w:val="22"/>
          <w:szCs w:val="22"/>
          <w:lang w:val="el-GR"/>
        </w:rPr>
        <w:t xml:space="preserve"> της Τράπεζας της Ελλάδος.</w:t>
      </w:r>
    </w:p>
    <w:p w14:paraId="12C880E8" w14:textId="400D04AE" w:rsidR="0063183F" w:rsidRPr="00147205" w:rsidRDefault="0063183F" w:rsidP="00914912">
      <w:pPr>
        <w:spacing w:before="240" w:line="360" w:lineRule="auto"/>
        <w:jc w:val="both"/>
        <w:rPr>
          <w:sz w:val="22"/>
          <w:szCs w:val="22"/>
          <w:lang w:val="el-GR"/>
        </w:rPr>
      </w:pPr>
      <w:r w:rsidRPr="00147205">
        <w:rPr>
          <w:b/>
          <w:sz w:val="22"/>
          <w:szCs w:val="22"/>
          <w:u w:val="single"/>
          <w:lang w:val="el-GR"/>
        </w:rPr>
        <w:t>Σχετικός σύνδεσμος</w:t>
      </w:r>
      <w:r w:rsidRPr="00147205">
        <w:rPr>
          <w:sz w:val="22"/>
          <w:szCs w:val="22"/>
          <w:lang w:val="el-GR"/>
        </w:rPr>
        <w:t>:</w:t>
      </w:r>
    </w:p>
    <w:p w14:paraId="3105F67C" w14:textId="77777777" w:rsidR="0063183F" w:rsidRPr="00147205" w:rsidRDefault="0063183F" w:rsidP="0063183F">
      <w:pPr>
        <w:spacing w:line="360" w:lineRule="auto"/>
        <w:jc w:val="both"/>
        <w:rPr>
          <w:sz w:val="22"/>
          <w:szCs w:val="22"/>
          <w:lang w:val="el-GR"/>
        </w:rPr>
      </w:pPr>
      <w:r w:rsidRPr="00147205">
        <w:rPr>
          <w:sz w:val="22"/>
          <w:szCs w:val="22"/>
          <w:lang w:val="el-GR"/>
        </w:rPr>
        <w:t xml:space="preserve">Τα αναλυτικά και οριστικά στατιστικά στοιχεία του ταξιδιωτικού ισοζυγίου δημοσιεύονται στην </w:t>
      </w:r>
      <w:proofErr w:type="spellStart"/>
      <w:r w:rsidRPr="00147205">
        <w:rPr>
          <w:sz w:val="22"/>
          <w:szCs w:val="22"/>
          <w:lang w:val="el-GR"/>
        </w:rPr>
        <w:t>υποενότητα</w:t>
      </w:r>
      <w:proofErr w:type="spellEnd"/>
      <w:r w:rsidRPr="00147205">
        <w:rPr>
          <w:sz w:val="22"/>
          <w:szCs w:val="22"/>
          <w:lang w:val="el-GR"/>
        </w:rPr>
        <w:t xml:space="preserve"> </w:t>
      </w:r>
      <w:hyperlink r:id="rId13" w:history="1">
        <w:r w:rsidRPr="00147205">
          <w:rPr>
            <w:rStyle w:val="Hyperlink"/>
            <w:sz w:val="22"/>
            <w:szCs w:val="22"/>
            <w:lang w:val="el-GR"/>
          </w:rPr>
          <w:t xml:space="preserve">Ταξιδιωτικές </w:t>
        </w:r>
        <w:r w:rsidRPr="00147205">
          <w:rPr>
            <w:rStyle w:val="Hyperlink"/>
            <w:sz w:val="22"/>
            <w:szCs w:val="22"/>
            <w:lang w:val="el-GR"/>
          </w:rPr>
          <w:t>υ</w:t>
        </w:r>
        <w:r w:rsidRPr="00147205">
          <w:rPr>
            <w:rStyle w:val="Hyperlink"/>
            <w:sz w:val="22"/>
            <w:szCs w:val="22"/>
            <w:lang w:val="el-GR"/>
          </w:rPr>
          <w:t>πηρεσίες</w:t>
        </w:r>
      </w:hyperlink>
      <w:r w:rsidRPr="00147205">
        <w:rPr>
          <w:sz w:val="22"/>
          <w:szCs w:val="22"/>
          <w:lang w:val="el-GR"/>
        </w:rPr>
        <w:t xml:space="preserve"> στον </w:t>
      </w:r>
      <w:proofErr w:type="spellStart"/>
      <w:r w:rsidRPr="00147205">
        <w:rPr>
          <w:sz w:val="22"/>
          <w:szCs w:val="22"/>
          <w:lang w:val="el-GR"/>
        </w:rPr>
        <w:t>ιστοχώρο</w:t>
      </w:r>
      <w:proofErr w:type="spellEnd"/>
      <w:r w:rsidRPr="00147205">
        <w:rPr>
          <w:sz w:val="22"/>
          <w:szCs w:val="22"/>
          <w:lang w:val="el-GR"/>
        </w:rPr>
        <w:t xml:space="preserve"> της Τράπεζας της Ελλάδος.</w:t>
      </w:r>
    </w:p>
    <w:p w14:paraId="6751848D" w14:textId="4477358A" w:rsidR="00147205" w:rsidRPr="00147205" w:rsidRDefault="00147205" w:rsidP="00147205">
      <w:pPr>
        <w:spacing w:line="360" w:lineRule="auto"/>
        <w:jc w:val="both"/>
        <w:rPr>
          <w:sz w:val="22"/>
          <w:szCs w:val="22"/>
          <w:lang w:val="el-GR"/>
        </w:rPr>
      </w:pPr>
      <w:r w:rsidRPr="00147205">
        <w:rPr>
          <w:sz w:val="22"/>
          <w:szCs w:val="22"/>
          <w:lang w:val="el-GR"/>
        </w:rPr>
        <w:t xml:space="preserve"> </w:t>
      </w:r>
    </w:p>
    <w:p w14:paraId="574DAC62" w14:textId="74FE45D1" w:rsidR="00F54D14" w:rsidRPr="007E3B77" w:rsidRDefault="00F54D14">
      <w:pPr>
        <w:rPr>
          <w:lang w:val="el-GR"/>
        </w:rPr>
      </w:pPr>
    </w:p>
    <w:sectPr w:rsidR="00F54D14" w:rsidRPr="007E3B77" w:rsidSect="00BB09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8" w:bottom="1276" w:left="1418" w:header="720" w:footer="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4A6A" w14:textId="77777777" w:rsidR="005F29C4" w:rsidRDefault="005F29C4">
      <w:r>
        <w:separator/>
      </w:r>
    </w:p>
  </w:endnote>
  <w:endnote w:type="continuationSeparator" w:id="0">
    <w:p w14:paraId="2798F6C9" w14:textId="77777777" w:rsidR="005F29C4" w:rsidRDefault="005F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46EC3" w14:textId="77777777" w:rsidR="0063183F" w:rsidRDefault="00631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2285B" w14:textId="77777777" w:rsidR="00747653" w:rsidRDefault="00DF6CBC">
    <w:pPr>
      <w:tabs>
        <w:tab w:val="left" w:pos="2288"/>
      </w:tabs>
      <w:spacing w:line="360" w:lineRule="auto"/>
      <w:ind w:right="360"/>
      <w:rPr>
        <w:sz w:val="14"/>
        <w:lang w:val="el-GR"/>
      </w:rPr>
    </w:pPr>
    <w:r>
      <w:rPr>
        <w:sz w:val="20"/>
      </w:rPr>
      <w:tab/>
    </w:r>
  </w:p>
  <w:p w14:paraId="4F230A38" w14:textId="77777777" w:rsidR="00747653" w:rsidRDefault="00747653">
    <w:pPr>
      <w:pStyle w:val="Footer"/>
      <w:framePr w:wrap="auto" w:vAnchor="text" w:hAnchor="page" w:x="10807" w:y="301"/>
      <w:rPr>
        <w:rFonts w:ascii="Arial" w:hAnsi="Arial" w:cs="Arial"/>
      </w:rPr>
    </w:pPr>
  </w:p>
  <w:tbl>
    <w:tblPr>
      <w:tblW w:w="9498" w:type="dxa"/>
      <w:tblInd w:w="108" w:type="dxa"/>
      <w:tblBorders>
        <w:left w:val="single" w:sz="48" w:space="0" w:color="DEA400"/>
      </w:tblBorders>
      <w:tblLook w:val="0000" w:firstRow="0" w:lastRow="0" w:firstColumn="0" w:lastColumn="0" w:noHBand="0" w:noVBand="0"/>
    </w:tblPr>
    <w:tblGrid>
      <w:gridCol w:w="4917"/>
      <w:gridCol w:w="4581"/>
    </w:tblGrid>
    <w:tr w:rsidR="003E6D38" w14:paraId="2710F471" w14:textId="77777777">
      <w:tc>
        <w:tcPr>
          <w:tcW w:w="4917" w:type="dxa"/>
          <w:tcBorders>
            <w:left w:val="single" w:sz="48" w:space="0" w:color="BC9E6E"/>
          </w:tcBorders>
          <w:shd w:val="clear" w:color="auto" w:fill="auto"/>
        </w:tcPr>
        <w:p w14:paraId="3265D128" w14:textId="77777777" w:rsidR="0063183F" w:rsidRDefault="0063183F" w:rsidP="0063183F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>
            <w:rPr>
              <w:rFonts w:ascii="Arial" w:hAnsi="Arial" w:cs="Arial"/>
              <w:sz w:val="14"/>
              <w:lang w:val="el-GR"/>
            </w:rPr>
            <w:t>Ελ. Βενιζέλου 21, Αθήνα 10250</w:t>
          </w:r>
        </w:p>
        <w:p w14:paraId="0715B112" w14:textId="77777777" w:rsidR="0063183F" w:rsidRDefault="0063183F" w:rsidP="0063183F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proofErr w:type="spellStart"/>
          <w:r>
            <w:rPr>
              <w:rFonts w:ascii="Arial" w:hAnsi="Arial" w:cs="Arial"/>
              <w:sz w:val="14"/>
              <w:lang w:val="el-GR"/>
            </w:rPr>
            <w:t>Τηλ</w:t>
          </w:r>
          <w:proofErr w:type="spellEnd"/>
          <w:r>
            <w:rPr>
              <w:rFonts w:ascii="Arial" w:hAnsi="Arial" w:cs="Arial"/>
              <w:sz w:val="14"/>
              <w:lang w:val="el-GR"/>
            </w:rPr>
            <w:t>: 210 320 3446-8</w:t>
          </w:r>
        </w:p>
        <w:p w14:paraId="796C427C" w14:textId="6D62DCA6" w:rsidR="0063183F" w:rsidRPr="0063183F" w:rsidRDefault="0063183F" w:rsidP="0063183F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lang w:val="el-GR"/>
            </w:rPr>
          </w:pPr>
          <w:hyperlink r:id="rId1" w:history="1">
            <w:r>
              <w:rPr>
                <w:rStyle w:val="Hyperlink"/>
                <w:rFonts w:ascii="Arial" w:hAnsi="Arial" w:cs="Arial"/>
                <w:sz w:val="14"/>
                <w:lang w:val="en-US"/>
              </w:rPr>
              <w:t>press</w:t>
            </w:r>
            <w:r>
              <w:rPr>
                <w:rStyle w:val="Hyperlink"/>
                <w:rFonts w:ascii="Arial" w:hAnsi="Arial" w:cs="Arial"/>
                <w:sz w:val="14"/>
                <w:lang w:val="el-GR"/>
              </w:rPr>
              <w:t>@</w:t>
            </w:r>
            <w:r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>
            <w:rPr>
              <w:rFonts w:ascii="Arial" w:hAnsi="Arial" w:cs="Arial"/>
              <w:sz w:val="14"/>
              <w:lang w:val="el-GR"/>
            </w:rPr>
            <w:t xml:space="preserve"> |  </w:t>
          </w:r>
          <w:hyperlink r:id="rId2" w:history="1">
            <w:r>
              <w:rPr>
                <w:rStyle w:val="Hyperlink"/>
                <w:rFonts w:ascii="Arial" w:hAnsi="Arial" w:cs="Arial"/>
                <w:sz w:val="14"/>
                <w:lang w:val="en-US"/>
              </w:rPr>
              <w:t>www</w:t>
            </w:r>
            <w:r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</w:p>
      </w:tc>
      <w:tc>
        <w:tcPr>
          <w:tcW w:w="4581" w:type="dxa"/>
          <w:shd w:val="clear" w:color="auto" w:fill="auto"/>
        </w:tcPr>
        <w:p w14:paraId="493F93AB" w14:textId="73D10786" w:rsidR="00747653" w:rsidRDefault="00DF6CBC">
          <w:pPr>
            <w:pStyle w:val="Footer"/>
            <w:tabs>
              <w:tab w:val="left" w:pos="5220"/>
            </w:tabs>
            <w:spacing w:before="60" w:after="60"/>
            <w:jc w:val="right"/>
            <w:rPr>
              <w:rFonts w:ascii="Arial" w:hAnsi="Arial" w:cs="Arial"/>
              <w:color w:val="auto"/>
              <w:sz w:val="14"/>
              <w:lang w:val="el-GR"/>
            </w:rPr>
          </w:pPr>
          <w:r>
            <w:rPr>
              <w:rFonts w:ascii="Arial" w:hAnsi="Arial" w:cs="Arial"/>
              <w:color w:val="auto"/>
              <w:sz w:val="18"/>
              <w:lang w:val="en-US"/>
            </w:rPr>
            <w:fldChar w:fldCharType="begin"/>
          </w:r>
          <w:r>
            <w:rPr>
              <w:rFonts w:ascii="Arial" w:hAnsi="Arial" w:cs="Arial"/>
              <w:color w:val="auto"/>
              <w:sz w:val="18"/>
              <w:lang w:val="en-US"/>
            </w:rPr>
            <w:instrText xml:space="preserve"> PAGE   \* MERGEFORMAT </w:instrText>
          </w:r>
          <w:r>
            <w:rPr>
              <w:rFonts w:ascii="Arial" w:hAnsi="Arial" w:cs="Arial"/>
              <w:color w:val="auto"/>
              <w:sz w:val="18"/>
              <w:lang w:val="en-US"/>
            </w:rPr>
            <w:fldChar w:fldCharType="separate"/>
          </w:r>
          <w:r w:rsidR="00C3791A">
            <w:rPr>
              <w:rFonts w:ascii="Arial" w:hAnsi="Arial" w:cs="Arial"/>
              <w:noProof/>
              <w:color w:val="auto"/>
              <w:sz w:val="18"/>
              <w:lang w:val="en-US"/>
            </w:rPr>
            <w:t>3</w:t>
          </w:r>
          <w:r>
            <w:rPr>
              <w:rFonts w:ascii="Arial" w:hAnsi="Arial" w:cs="Arial"/>
              <w:noProof/>
              <w:color w:val="auto"/>
              <w:sz w:val="18"/>
              <w:lang w:val="en-US"/>
            </w:rPr>
            <w:fldChar w:fldCharType="end"/>
          </w:r>
          <w:r>
            <w:rPr>
              <w:rFonts w:ascii="Arial" w:hAnsi="Arial" w:cs="Arial"/>
              <w:noProof/>
              <w:color w:val="auto"/>
              <w:sz w:val="18"/>
              <w:lang w:val="el-GR"/>
            </w:rPr>
            <w:t xml:space="preserve"> </w:t>
          </w:r>
          <w:r>
            <w:rPr>
              <w:rFonts w:ascii="Arial Black" w:hAnsi="Arial Black" w:cs="Arial"/>
              <w:b/>
              <w:noProof/>
              <w:color w:val="948A54"/>
              <w:sz w:val="22"/>
              <w:lang w:val="el-GR"/>
            </w:rPr>
            <w:t>|</w:t>
          </w:r>
        </w:p>
      </w:tc>
    </w:tr>
  </w:tbl>
  <w:p w14:paraId="507E6D6A" w14:textId="77777777" w:rsidR="00747653" w:rsidRDefault="00747653">
    <w:pPr>
      <w:pStyle w:val="Footer"/>
      <w:ind w:right="360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4521" w14:textId="77777777" w:rsidR="00747653" w:rsidRDefault="00747653">
    <w:pPr>
      <w:pStyle w:val="Footer"/>
      <w:rPr>
        <w:sz w:val="20"/>
        <w:lang w:val="de-DE"/>
      </w:rPr>
    </w:pPr>
  </w:p>
  <w:p w14:paraId="34B9AD79" w14:textId="77777777" w:rsidR="00747653" w:rsidRDefault="00747653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99528" w14:textId="77777777" w:rsidR="005F29C4" w:rsidRDefault="005F29C4">
      <w:r>
        <w:separator/>
      </w:r>
    </w:p>
  </w:footnote>
  <w:footnote w:type="continuationSeparator" w:id="0">
    <w:p w14:paraId="249A3878" w14:textId="77777777" w:rsidR="005F29C4" w:rsidRDefault="005F2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9C36" w14:textId="77777777" w:rsidR="0063183F" w:rsidRDefault="00631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5291" w14:textId="77777777" w:rsidR="0063183F" w:rsidRDefault="00631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8C75" w14:textId="77777777" w:rsidR="0063183F" w:rsidRDefault="00631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B4859"/>
    <w:multiLevelType w:val="hybridMultilevel"/>
    <w:tmpl w:val="816ECCF0"/>
    <w:lvl w:ilvl="0" w:tplc="B6880D88">
      <w:start w:val="1"/>
      <w:numFmt w:val="decimal"/>
      <w:lvlText w:val="%1)"/>
      <w:lvlJc w:val="left"/>
      <w:pPr>
        <w:ind w:left="720" w:hanging="360"/>
      </w:pPr>
    </w:lvl>
    <w:lvl w:ilvl="1" w:tplc="A04E3892">
      <w:start w:val="1"/>
      <w:numFmt w:val="decimal"/>
      <w:lvlText w:val="%2)"/>
      <w:lvlJc w:val="left"/>
      <w:pPr>
        <w:ind w:left="720" w:hanging="360"/>
      </w:pPr>
    </w:lvl>
    <w:lvl w:ilvl="2" w:tplc="B5A072E4">
      <w:start w:val="1"/>
      <w:numFmt w:val="decimal"/>
      <w:lvlText w:val="%3)"/>
      <w:lvlJc w:val="left"/>
      <w:pPr>
        <w:ind w:left="720" w:hanging="360"/>
      </w:pPr>
    </w:lvl>
    <w:lvl w:ilvl="3" w:tplc="2C12F49E">
      <w:start w:val="1"/>
      <w:numFmt w:val="decimal"/>
      <w:lvlText w:val="%4)"/>
      <w:lvlJc w:val="left"/>
      <w:pPr>
        <w:ind w:left="720" w:hanging="360"/>
      </w:pPr>
    </w:lvl>
    <w:lvl w:ilvl="4" w:tplc="F8DA5B4C">
      <w:start w:val="1"/>
      <w:numFmt w:val="decimal"/>
      <w:lvlText w:val="%5)"/>
      <w:lvlJc w:val="left"/>
      <w:pPr>
        <w:ind w:left="720" w:hanging="360"/>
      </w:pPr>
    </w:lvl>
    <w:lvl w:ilvl="5" w:tplc="F1028AAE">
      <w:start w:val="1"/>
      <w:numFmt w:val="decimal"/>
      <w:lvlText w:val="%6)"/>
      <w:lvlJc w:val="left"/>
      <w:pPr>
        <w:ind w:left="720" w:hanging="360"/>
      </w:pPr>
    </w:lvl>
    <w:lvl w:ilvl="6" w:tplc="DD80187E">
      <w:start w:val="1"/>
      <w:numFmt w:val="decimal"/>
      <w:lvlText w:val="%7)"/>
      <w:lvlJc w:val="left"/>
      <w:pPr>
        <w:ind w:left="720" w:hanging="360"/>
      </w:pPr>
    </w:lvl>
    <w:lvl w:ilvl="7" w:tplc="FAE268D8">
      <w:start w:val="1"/>
      <w:numFmt w:val="decimal"/>
      <w:lvlText w:val="%8)"/>
      <w:lvlJc w:val="left"/>
      <w:pPr>
        <w:ind w:left="720" w:hanging="360"/>
      </w:pPr>
    </w:lvl>
    <w:lvl w:ilvl="8" w:tplc="AEA21694">
      <w:start w:val="1"/>
      <w:numFmt w:val="decimal"/>
      <w:lvlText w:val="%9)"/>
      <w:lvlJc w:val="left"/>
      <w:pPr>
        <w:ind w:left="720" w:hanging="360"/>
      </w:pPr>
    </w:lvl>
  </w:abstractNum>
  <w:abstractNum w:abstractNumId="1" w15:restartNumberingAfterBreak="0">
    <w:nsid w:val="20C4418D"/>
    <w:multiLevelType w:val="hybridMultilevel"/>
    <w:tmpl w:val="E5CAFEBC"/>
    <w:lvl w:ilvl="0" w:tplc="052CA874">
      <w:start w:val="1"/>
      <w:numFmt w:val="decimal"/>
      <w:lvlText w:val="%1)"/>
      <w:lvlJc w:val="left"/>
      <w:pPr>
        <w:ind w:left="720" w:hanging="360"/>
      </w:pPr>
    </w:lvl>
    <w:lvl w:ilvl="1" w:tplc="FCE8FE0C">
      <w:start w:val="1"/>
      <w:numFmt w:val="decimal"/>
      <w:lvlText w:val="%2)"/>
      <w:lvlJc w:val="left"/>
      <w:pPr>
        <w:ind w:left="720" w:hanging="360"/>
      </w:pPr>
    </w:lvl>
    <w:lvl w:ilvl="2" w:tplc="9D404A34">
      <w:start w:val="1"/>
      <w:numFmt w:val="decimal"/>
      <w:lvlText w:val="%3)"/>
      <w:lvlJc w:val="left"/>
      <w:pPr>
        <w:ind w:left="720" w:hanging="360"/>
      </w:pPr>
    </w:lvl>
    <w:lvl w:ilvl="3" w:tplc="1ED0930A">
      <w:start w:val="1"/>
      <w:numFmt w:val="decimal"/>
      <w:lvlText w:val="%4)"/>
      <w:lvlJc w:val="left"/>
      <w:pPr>
        <w:ind w:left="720" w:hanging="360"/>
      </w:pPr>
    </w:lvl>
    <w:lvl w:ilvl="4" w:tplc="70D28A00">
      <w:start w:val="1"/>
      <w:numFmt w:val="decimal"/>
      <w:lvlText w:val="%5)"/>
      <w:lvlJc w:val="left"/>
      <w:pPr>
        <w:ind w:left="720" w:hanging="360"/>
      </w:pPr>
    </w:lvl>
    <w:lvl w:ilvl="5" w:tplc="879AA4B4">
      <w:start w:val="1"/>
      <w:numFmt w:val="decimal"/>
      <w:lvlText w:val="%6)"/>
      <w:lvlJc w:val="left"/>
      <w:pPr>
        <w:ind w:left="720" w:hanging="360"/>
      </w:pPr>
    </w:lvl>
    <w:lvl w:ilvl="6" w:tplc="2E76D14C">
      <w:start w:val="1"/>
      <w:numFmt w:val="decimal"/>
      <w:lvlText w:val="%7)"/>
      <w:lvlJc w:val="left"/>
      <w:pPr>
        <w:ind w:left="720" w:hanging="360"/>
      </w:pPr>
    </w:lvl>
    <w:lvl w:ilvl="7" w:tplc="F502D528">
      <w:start w:val="1"/>
      <w:numFmt w:val="decimal"/>
      <w:lvlText w:val="%8)"/>
      <w:lvlJc w:val="left"/>
      <w:pPr>
        <w:ind w:left="720" w:hanging="360"/>
      </w:pPr>
    </w:lvl>
    <w:lvl w:ilvl="8" w:tplc="F9DAA2CE">
      <w:start w:val="1"/>
      <w:numFmt w:val="decimal"/>
      <w:lvlText w:val="%9)"/>
      <w:lvlJc w:val="left"/>
      <w:pPr>
        <w:ind w:left="720" w:hanging="360"/>
      </w:pPr>
    </w:lvl>
  </w:abstractNum>
  <w:abstractNum w:abstractNumId="2" w15:restartNumberingAfterBreak="0">
    <w:nsid w:val="2DD161CE"/>
    <w:multiLevelType w:val="hybridMultilevel"/>
    <w:tmpl w:val="CC542B5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6B10327"/>
    <w:multiLevelType w:val="hybridMultilevel"/>
    <w:tmpl w:val="52669D4C"/>
    <w:lvl w:ilvl="0" w:tplc="1D8CD46A">
      <w:start w:val="1"/>
      <w:numFmt w:val="decimal"/>
      <w:lvlText w:val="%1)"/>
      <w:lvlJc w:val="left"/>
      <w:pPr>
        <w:ind w:left="720" w:hanging="360"/>
      </w:pPr>
    </w:lvl>
    <w:lvl w:ilvl="1" w:tplc="81BEF50A">
      <w:start w:val="1"/>
      <w:numFmt w:val="decimal"/>
      <w:lvlText w:val="%2)"/>
      <w:lvlJc w:val="left"/>
      <w:pPr>
        <w:ind w:left="720" w:hanging="360"/>
      </w:pPr>
    </w:lvl>
    <w:lvl w:ilvl="2" w:tplc="0C8809E2">
      <w:start w:val="1"/>
      <w:numFmt w:val="decimal"/>
      <w:lvlText w:val="%3)"/>
      <w:lvlJc w:val="left"/>
      <w:pPr>
        <w:ind w:left="720" w:hanging="360"/>
      </w:pPr>
    </w:lvl>
    <w:lvl w:ilvl="3" w:tplc="9AC0584E">
      <w:start w:val="1"/>
      <w:numFmt w:val="decimal"/>
      <w:lvlText w:val="%4)"/>
      <w:lvlJc w:val="left"/>
      <w:pPr>
        <w:ind w:left="720" w:hanging="360"/>
      </w:pPr>
    </w:lvl>
    <w:lvl w:ilvl="4" w:tplc="3DC03C5E">
      <w:start w:val="1"/>
      <w:numFmt w:val="decimal"/>
      <w:lvlText w:val="%5)"/>
      <w:lvlJc w:val="left"/>
      <w:pPr>
        <w:ind w:left="720" w:hanging="360"/>
      </w:pPr>
    </w:lvl>
    <w:lvl w:ilvl="5" w:tplc="56D81C20">
      <w:start w:val="1"/>
      <w:numFmt w:val="decimal"/>
      <w:lvlText w:val="%6)"/>
      <w:lvlJc w:val="left"/>
      <w:pPr>
        <w:ind w:left="720" w:hanging="360"/>
      </w:pPr>
    </w:lvl>
    <w:lvl w:ilvl="6" w:tplc="7370EFE2">
      <w:start w:val="1"/>
      <w:numFmt w:val="decimal"/>
      <w:lvlText w:val="%7)"/>
      <w:lvlJc w:val="left"/>
      <w:pPr>
        <w:ind w:left="720" w:hanging="360"/>
      </w:pPr>
    </w:lvl>
    <w:lvl w:ilvl="7" w:tplc="32BE12B8">
      <w:start w:val="1"/>
      <w:numFmt w:val="decimal"/>
      <w:lvlText w:val="%8)"/>
      <w:lvlJc w:val="left"/>
      <w:pPr>
        <w:ind w:left="720" w:hanging="360"/>
      </w:pPr>
    </w:lvl>
    <w:lvl w:ilvl="8" w:tplc="8FDC7D78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64E444FE"/>
    <w:multiLevelType w:val="hybridMultilevel"/>
    <w:tmpl w:val="6F6ACC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43326">
    <w:abstractNumId w:val="2"/>
  </w:num>
  <w:num w:numId="2" w16cid:durableId="1011756884">
    <w:abstractNumId w:val="4"/>
  </w:num>
  <w:num w:numId="3" w16cid:durableId="1802074340">
    <w:abstractNumId w:val="3"/>
  </w:num>
  <w:num w:numId="4" w16cid:durableId="1071346125">
    <w:abstractNumId w:val="0"/>
  </w:num>
  <w:num w:numId="5" w16cid:durableId="132697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77"/>
    <w:rsid w:val="00001D5D"/>
    <w:rsid w:val="00005783"/>
    <w:rsid w:val="000111A0"/>
    <w:rsid w:val="00021FB2"/>
    <w:rsid w:val="00022EFD"/>
    <w:rsid w:val="000451F5"/>
    <w:rsid w:val="00054F30"/>
    <w:rsid w:val="00062C03"/>
    <w:rsid w:val="00065E59"/>
    <w:rsid w:val="00066F41"/>
    <w:rsid w:val="00072849"/>
    <w:rsid w:val="00084D26"/>
    <w:rsid w:val="000929FC"/>
    <w:rsid w:val="00095175"/>
    <w:rsid w:val="000B7C57"/>
    <w:rsid w:val="000C3099"/>
    <w:rsid w:val="000C7C6A"/>
    <w:rsid w:val="000D3411"/>
    <w:rsid w:val="000F4BAE"/>
    <w:rsid w:val="00101E36"/>
    <w:rsid w:val="00102452"/>
    <w:rsid w:val="00104A82"/>
    <w:rsid w:val="0010611D"/>
    <w:rsid w:val="00117DB9"/>
    <w:rsid w:val="001211C7"/>
    <w:rsid w:val="00122635"/>
    <w:rsid w:val="00145B40"/>
    <w:rsid w:val="00145B74"/>
    <w:rsid w:val="00147205"/>
    <w:rsid w:val="0015363C"/>
    <w:rsid w:val="00154551"/>
    <w:rsid w:val="001630C9"/>
    <w:rsid w:val="00164BF2"/>
    <w:rsid w:val="00172064"/>
    <w:rsid w:val="00175EDB"/>
    <w:rsid w:val="0018235D"/>
    <w:rsid w:val="001841AE"/>
    <w:rsid w:val="00184FE3"/>
    <w:rsid w:val="00191C44"/>
    <w:rsid w:val="001925E8"/>
    <w:rsid w:val="001929C7"/>
    <w:rsid w:val="001A2512"/>
    <w:rsid w:val="001A2BF8"/>
    <w:rsid w:val="001C2601"/>
    <w:rsid w:val="001D0E45"/>
    <w:rsid w:val="001D72A0"/>
    <w:rsid w:val="001E497C"/>
    <w:rsid w:val="00202EC6"/>
    <w:rsid w:val="002068D3"/>
    <w:rsid w:val="00224562"/>
    <w:rsid w:val="002277B4"/>
    <w:rsid w:val="0023094F"/>
    <w:rsid w:val="002321AD"/>
    <w:rsid w:val="00234B95"/>
    <w:rsid w:val="00234FFF"/>
    <w:rsid w:val="00246975"/>
    <w:rsid w:val="002518BB"/>
    <w:rsid w:val="00254BE3"/>
    <w:rsid w:val="00261AB5"/>
    <w:rsid w:val="00261D33"/>
    <w:rsid w:val="00276A39"/>
    <w:rsid w:val="00282D7A"/>
    <w:rsid w:val="00284E75"/>
    <w:rsid w:val="0028787F"/>
    <w:rsid w:val="0029016D"/>
    <w:rsid w:val="002A6337"/>
    <w:rsid w:val="002C3A86"/>
    <w:rsid w:val="002D4CEE"/>
    <w:rsid w:val="002F0EF0"/>
    <w:rsid w:val="002F47A4"/>
    <w:rsid w:val="002F48E1"/>
    <w:rsid w:val="002F7699"/>
    <w:rsid w:val="003057CE"/>
    <w:rsid w:val="003107CB"/>
    <w:rsid w:val="00312CB2"/>
    <w:rsid w:val="0032784F"/>
    <w:rsid w:val="00334D1C"/>
    <w:rsid w:val="003410A7"/>
    <w:rsid w:val="003718A3"/>
    <w:rsid w:val="00390E40"/>
    <w:rsid w:val="00397602"/>
    <w:rsid w:val="00397E44"/>
    <w:rsid w:val="003A11C2"/>
    <w:rsid w:val="003A7D0A"/>
    <w:rsid w:val="003D6F8B"/>
    <w:rsid w:val="003E4A51"/>
    <w:rsid w:val="00401594"/>
    <w:rsid w:val="004034F7"/>
    <w:rsid w:val="00413319"/>
    <w:rsid w:val="00423A5A"/>
    <w:rsid w:val="0043455B"/>
    <w:rsid w:val="004348CA"/>
    <w:rsid w:val="00436CB3"/>
    <w:rsid w:val="0044335A"/>
    <w:rsid w:val="00450725"/>
    <w:rsid w:val="004536C9"/>
    <w:rsid w:val="0045436C"/>
    <w:rsid w:val="00454C70"/>
    <w:rsid w:val="00457E5D"/>
    <w:rsid w:val="00464C14"/>
    <w:rsid w:val="00465650"/>
    <w:rsid w:val="0047086F"/>
    <w:rsid w:val="00484100"/>
    <w:rsid w:val="004913DE"/>
    <w:rsid w:val="004A0529"/>
    <w:rsid w:val="004A4459"/>
    <w:rsid w:val="004D664D"/>
    <w:rsid w:val="004E3178"/>
    <w:rsid w:val="004E626E"/>
    <w:rsid w:val="004E6D7F"/>
    <w:rsid w:val="004F6195"/>
    <w:rsid w:val="00501085"/>
    <w:rsid w:val="005274E6"/>
    <w:rsid w:val="00527E74"/>
    <w:rsid w:val="00534A5E"/>
    <w:rsid w:val="00564A14"/>
    <w:rsid w:val="0058713E"/>
    <w:rsid w:val="00590CD1"/>
    <w:rsid w:val="00594A04"/>
    <w:rsid w:val="005A6AC2"/>
    <w:rsid w:val="005A7BBB"/>
    <w:rsid w:val="005B4D7C"/>
    <w:rsid w:val="005C042C"/>
    <w:rsid w:val="005D2B90"/>
    <w:rsid w:val="005E13BD"/>
    <w:rsid w:val="005E6D0B"/>
    <w:rsid w:val="005F2793"/>
    <w:rsid w:val="005F29C4"/>
    <w:rsid w:val="006020E8"/>
    <w:rsid w:val="006042C9"/>
    <w:rsid w:val="00610F9E"/>
    <w:rsid w:val="00617B2C"/>
    <w:rsid w:val="00621B78"/>
    <w:rsid w:val="006221E0"/>
    <w:rsid w:val="00622D82"/>
    <w:rsid w:val="00624713"/>
    <w:rsid w:val="006309C3"/>
    <w:rsid w:val="0063183F"/>
    <w:rsid w:val="006427BC"/>
    <w:rsid w:val="006429A3"/>
    <w:rsid w:val="0064560A"/>
    <w:rsid w:val="00645DD5"/>
    <w:rsid w:val="00645E0E"/>
    <w:rsid w:val="00660B2F"/>
    <w:rsid w:val="00664759"/>
    <w:rsid w:val="00674A36"/>
    <w:rsid w:val="00675204"/>
    <w:rsid w:val="006835D3"/>
    <w:rsid w:val="00686D5D"/>
    <w:rsid w:val="00691BD7"/>
    <w:rsid w:val="0069418C"/>
    <w:rsid w:val="006A4FB8"/>
    <w:rsid w:val="006A7758"/>
    <w:rsid w:val="006D73C2"/>
    <w:rsid w:val="006E46B2"/>
    <w:rsid w:val="006E4AF7"/>
    <w:rsid w:val="006E570F"/>
    <w:rsid w:val="006F407F"/>
    <w:rsid w:val="0070262D"/>
    <w:rsid w:val="007104D5"/>
    <w:rsid w:val="0071084F"/>
    <w:rsid w:val="00712468"/>
    <w:rsid w:val="00713FAD"/>
    <w:rsid w:val="00723A29"/>
    <w:rsid w:val="00733B6E"/>
    <w:rsid w:val="00742EC1"/>
    <w:rsid w:val="00746CB2"/>
    <w:rsid w:val="00747653"/>
    <w:rsid w:val="007656A4"/>
    <w:rsid w:val="00766FC9"/>
    <w:rsid w:val="0078607D"/>
    <w:rsid w:val="007D2D2C"/>
    <w:rsid w:val="007E3B77"/>
    <w:rsid w:val="00811730"/>
    <w:rsid w:val="00821224"/>
    <w:rsid w:val="00852147"/>
    <w:rsid w:val="00854588"/>
    <w:rsid w:val="0086683D"/>
    <w:rsid w:val="00870363"/>
    <w:rsid w:val="0087202C"/>
    <w:rsid w:val="008844F1"/>
    <w:rsid w:val="00890565"/>
    <w:rsid w:val="00894311"/>
    <w:rsid w:val="008A20A0"/>
    <w:rsid w:val="008C0E63"/>
    <w:rsid w:val="008C311B"/>
    <w:rsid w:val="008D2E94"/>
    <w:rsid w:val="008D7A62"/>
    <w:rsid w:val="008E009C"/>
    <w:rsid w:val="008E2691"/>
    <w:rsid w:val="008E7A12"/>
    <w:rsid w:val="008F1C16"/>
    <w:rsid w:val="00901AA8"/>
    <w:rsid w:val="00903402"/>
    <w:rsid w:val="009062AE"/>
    <w:rsid w:val="00914912"/>
    <w:rsid w:val="0093080B"/>
    <w:rsid w:val="00941560"/>
    <w:rsid w:val="00941983"/>
    <w:rsid w:val="0097268C"/>
    <w:rsid w:val="00997B9D"/>
    <w:rsid w:val="009A35EC"/>
    <w:rsid w:val="009A37F7"/>
    <w:rsid w:val="009B29D9"/>
    <w:rsid w:val="009D1EA6"/>
    <w:rsid w:val="009D32F6"/>
    <w:rsid w:val="009D7766"/>
    <w:rsid w:val="009E4C2B"/>
    <w:rsid w:val="009E51C1"/>
    <w:rsid w:val="009E51ED"/>
    <w:rsid w:val="00A00B7C"/>
    <w:rsid w:val="00A0439F"/>
    <w:rsid w:val="00A20337"/>
    <w:rsid w:val="00A264BB"/>
    <w:rsid w:val="00A26A34"/>
    <w:rsid w:val="00A3214B"/>
    <w:rsid w:val="00A34E93"/>
    <w:rsid w:val="00A43C1C"/>
    <w:rsid w:val="00A55BF8"/>
    <w:rsid w:val="00A643AC"/>
    <w:rsid w:val="00A772DC"/>
    <w:rsid w:val="00A81817"/>
    <w:rsid w:val="00A81C2A"/>
    <w:rsid w:val="00A92E12"/>
    <w:rsid w:val="00AA014D"/>
    <w:rsid w:val="00AA20CF"/>
    <w:rsid w:val="00AA3424"/>
    <w:rsid w:val="00AA74F7"/>
    <w:rsid w:val="00AA76F6"/>
    <w:rsid w:val="00AC0031"/>
    <w:rsid w:val="00AD2DF4"/>
    <w:rsid w:val="00AD5B51"/>
    <w:rsid w:val="00AD7878"/>
    <w:rsid w:val="00AE1EC5"/>
    <w:rsid w:val="00AE3B45"/>
    <w:rsid w:val="00AE5581"/>
    <w:rsid w:val="00B04969"/>
    <w:rsid w:val="00B04D71"/>
    <w:rsid w:val="00B13328"/>
    <w:rsid w:val="00B1560F"/>
    <w:rsid w:val="00B309D2"/>
    <w:rsid w:val="00B36CAD"/>
    <w:rsid w:val="00B47AC0"/>
    <w:rsid w:val="00B57E5E"/>
    <w:rsid w:val="00B62A4B"/>
    <w:rsid w:val="00B67DE1"/>
    <w:rsid w:val="00B83A3E"/>
    <w:rsid w:val="00B84544"/>
    <w:rsid w:val="00B877FE"/>
    <w:rsid w:val="00B904A0"/>
    <w:rsid w:val="00B95ACB"/>
    <w:rsid w:val="00BA077E"/>
    <w:rsid w:val="00BB05CB"/>
    <w:rsid w:val="00BB090A"/>
    <w:rsid w:val="00BC53AF"/>
    <w:rsid w:val="00BD03EA"/>
    <w:rsid w:val="00BD4A1A"/>
    <w:rsid w:val="00BD595C"/>
    <w:rsid w:val="00BE0137"/>
    <w:rsid w:val="00BE4C9D"/>
    <w:rsid w:val="00BF104B"/>
    <w:rsid w:val="00BF3D82"/>
    <w:rsid w:val="00C03E5B"/>
    <w:rsid w:val="00C17CE0"/>
    <w:rsid w:val="00C23E9E"/>
    <w:rsid w:val="00C3791A"/>
    <w:rsid w:val="00C53D6C"/>
    <w:rsid w:val="00C56E11"/>
    <w:rsid w:val="00C72CC7"/>
    <w:rsid w:val="00C75FA8"/>
    <w:rsid w:val="00C76B3B"/>
    <w:rsid w:val="00C867D6"/>
    <w:rsid w:val="00C875D6"/>
    <w:rsid w:val="00C94A86"/>
    <w:rsid w:val="00CB2C8A"/>
    <w:rsid w:val="00CB36C0"/>
    <w:rsid w:val="00CB3998"/>
    <w:rsid w:val="00CB6FB2"/>
    <w:rsid w:val="00CD1CC1"/>
    <w:rsid w:val="00CD1F0A"/>
    <w:rsid w:val="00CD5D77"/>
    <w:rsid w:val="00CE0083"/>
    <w:rsid w:val="00CE4D3F"/>
    <w:rsid w:val="00CE5DA5"/>
    <w:rsid w:val="00CF24D0"/>
    <w:rsid w:val="00CF2B7B"/>
    <w:rsid w:val="00D01FE3"/>
    <w:rsid w:val="00D115F8"/>
    <w:rsid w:val="00D22E63"/>
    <w:rsid w:val="00D26AF4"/>
    <w:rsid w:val="00D27356"/>
    <w:rsid w:val="00D461E6"/>
    <w:rsid w:val="00D509C5"/>
    <w:rsid w:val="00D5630E"/>
    <w:rsid w:val="00D6157E"/>
    <w:rsid w:val="00D62D97"/>
    <w:rsid w:val="00D634DC"/>
    <w:rsid w:val="00D735F6"/>
    <w:rsid w:val="00D8046A"/>
    <w:rsid w:val="00D80A09"/>
    <w:rsid w:val="00D819BF"/>
    <w:rsid w:val="00DA430D"/>
    <w:rsid w:val="00DB1FD7"/>
    <w:rsid w:val="00DC3427"/>
    <w:rsid w:val="00DC68FC"/>
    <w:rsid w:val="00DC7C79"/>
    <w:rsid w:val="00DD1E88"/>
    <w:rsid w:val="00DD22CE"/>
    <w:rsid w:val="00DE5A38"/>
    <w:rsid w:val="00DF6CBC"/>
    <w:rsid w:val="00E0624A"/>
    <w:rsid w:val="00E15DD1"/>
    <w:rsid w:val="00E15E29"/>
    <w:rsid w:val="00E2733B"/>
    <w:rsid w:val="00E32A8E"/>
    <w:rsid w:val="00E41BEE"/>
    <w:rsid w:val="00E42671"/>
    <w:rsid w:val="00E4487F"/>
    <w:rsid w:val="00E6279E"/>
    <w:rsid w:val="00E66EDB"/>
    <w:rsid w:val="00E74C0A"/>
    <w:rsid w:val="00E82CBF"/>
    <w:rsid w:val="00E83A27"/>
    <w:rsid w:val="00E930AF"/>
    <w:rsid w:val="00EA0BC5"/>
    <w:rsid w:val="00EA5543"/>
    <w:rsid w:val="00EA6E53"/>
    <w:rsid w:val="00EB07C3"/>
    <w:rsid w:val="00EB63AD"/>
    <w:rsid w:val="00EC36BD"/>
    <w:rsid w:val="00ED0BFC"/>
    <w:rsid w:val="00ED1014"/>
    <w:rsid w:val="00ED2E25"/>
    <w:rsid w:val="00EF0AA0"/>
    <w:rsid w:val="00EF153F"/>
    <w:rsid w:val="00F034FB"/>
    <w:rsid w:val="00F24C28"/>
    <w:rsid w:val="00F252A3"/>
    <w:rsid w:val="00F34446"/>
    <w:rsid w:val="00F34BF7"/>
    <w:rsid w:val="00F34E49"/>
    <w:rsid w:val="00F401AE"/>
    <w:rsid w:val="00F41C82"/>
    <w:rsid w:val="00F4263A"/>
    <w:rsid w:val="00F42BBB"/>
    <w:rsid w:val="00F54D14"/>
    <w:rsid w:val="00F5553E"/>
    <w:rsid w:val="00F72815"/>
    <w:rsid w:val="00F72A94"/>
    <w:rsid w:val="00F770E4"/>
    <w:rsid w:val="00F83D30"/>
    <w:rsid w:val="00F920F4"/>
    <w:rsid w:val="00FC1877"/>
    <w:rsid w:val="00FC4349"/>
    <w:rsid w:val="00FD457F"/>
    <w:rsid w:val="00FD6E61"/>
    <w:rsid w:val="00FE2334"/>
    <w:rsid w:val="00FE35B3"/>
    <w:rsid w:val="00FE77EF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75DD3"/>
  <w15:chartTrackingRefBased/>
  <w15:docId w15:val="{B4142096-D5AC-4C4B-88A1-5A233188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77"/>
    <w:pPr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0"/>
      <w:lang w:val="en-AU" w:eastAsia="el-GR"/>
    </w:rPr>
  </w:style>
  <w:style w:type="paragraph" w:styleId="Heading1">
    <w:name w:val="heading 1"/>
    <w:basedOn w:val="Normal"/>
    <w:next w:val="Normal"/>
    <w:link w:val="Heading1Char"/>
    <w:qFormat/>
    <w:rsid w:val="007E3B77"/>
    <w:pPr>
      <w:keepNext/>
      <w:spacing w:line="360" w:lineRule="auto"/>
      <w:ind w:firstLine="720"/>
      <w:jc w:val="both"/>
      <w:outlineLvl w:val="0"/>
    </w:pPr>
    <w:rPr>
      <w:i/>
      <w:sz w:val="22"/>
      <w:u w:val="single"/>
      <w:lang w:val="el-GR"/>
    </w:rPr>
  </w:style>
  <w:style w:type="paragraph" w:styleId="Heading6">
    <w:name w:val="heading 6"/>
    <w:basedOn w:val="Normal"/>
    <w:next w:val="Normal"/>
    <w:link w:val="Heading6Char"/>
    <w:qFormat/>
    <w:rsid w:val="007E3B77"/>
    <w:pPr>
      <w:keepNext/>
      <w:spacing w:line="360" w:lineRule="auto"/>
      <w:ind w:left="851" w:right="340"/>
      <w:jc w:val="both"/>
      <w:outlineLvl w:val="5"/>
    </w:pPr>
    <w:rPr>
      <w:i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3B77"/>
    <w:rPr>
      <w:rFonts w:ascii="Arial" w:eastAsia="Times New Roman" w:hAnsi="Arial" w:cs="Arial"/>
      <w:i/>
      <w:color w:val="000000"/>
      <w:kern w:val="0"/>
      <w:szCs w:val="20"/>
      <w:u w:val="single"/>
      <w:lang w:eastAsia="el-GR"/>
    </w:rPr>
  </w:style>
  <w:style w:type="character" w:customStyle="1" w:styleId="Heading6Char">
    <w:name w:val="Heading 6 Char"/>
    <w:basedOn w:val="DefaultParagraphFont"/>
    <w:link w:val="Heading6"/>
    <w:rsid w:val="007E3B77"/>
    <w:rPr>
      <w:rFonts w:ascii="Arial" w:eastAsia="Times New Roman" w:hAnsi="Arial" w:cs="Arial"/>
      <w:i/>
      <w:color w:val="000000"/>
      <w:kern w:val="0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rsid w:val="007E3B77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E3B77"/>
    <w:rPr>
      <w:rFonts w:ascii="Times New Roman" w:eastAsia="Times New Roman" w:hAnsi="Times New Roman" w:cs="Times New Roman"/>
      <w:color w:val="000000"/>
      <w:kern w:val="0"/>
      <w:sz w:val="24"/>
      <w:szCs w:val="20"/>
      <w:lang w:val="en-GB" w:eastAsia="el-GR"/>
    </w:rPr>
  </w:style>
  <w:style w:type="paragraph" w:styleId="BodyText">
    <w:name w:val="Body Text"/>
    <w:basedOn w:val="Normal"/>
    <w:link w:val="BodyTextChar"/>
    <w:rsid w:val="007E3B77"/>
    <w:pPr>
      <w:jc w:val="both"/>
    </w:pPr>
    <w:rPr>
      <w:rFonts w:ascii="Times New Roman" w:hAnsi="Times New Roman" w:cs="Times New Roman"/>
      <w:lang w:val="el-GR"/>
    </w:rPr>
  </w:style>
  <w:style w:type="character" w:customStyle="1" w:styleId="BodyTextChar">
    <w:name w:val="Body Text Char"/>
    <w:basedOn w:val="DefaultParagraphFont"/>
    <w:link w:val="BodyText"/>
    <w:rsid w:val="007E3B77"/>
    <w:rPr>
      <w:rFonts w:ascii="Times New Roman" w:eastAsia="Times New Roman" w:hAnsi="Times New Roman" w:cs="Times New Roman"/>
      <w:color w:val="000000"/>
      <w:kern w:val="0"/>
      <w:sz w:val="24"/>
      <w:szCs w:val="20"/>
      <w:lang w:eastAsia="el-GR"/>
    </w:rPr>
  </w:style>
  <w:style w:type="character" w:styleId="Hyperlink">
    <w:name w:val="Hyperlink"/>
    <w:uiPriority w:val="99"/>
    <w:unhideWhenUsed/>
    <w:rsid w:val="007E3B77"/>
    <w:rPr>
      <w:color w:val="0000FF"/>
      <w:u w:val="single"/>
    </w:rPr>
  </w:style>
  <w:style w:type="paragraph" w:styleId="Revision">
    <w:name w:val="Revision"/>
    <w:hidden/>
    <w:uiPriority w:val="99"/>
    <w:semiHidden/>
    <w:rsid w:val="009D7766"/>
    <w:pPr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0"/>
      <w:lang w:val="en-AU" w:eastAsia="el-GR"/>
    </w:rPr>
  </w:style>
  <w:style w:type="paragraph" w:styleId="Header">
    <w:name w:val="header"/>
    <w:basedOn w:val="Normal"/>
    <w:link w:val="HeaderChar"/>
    <w:uiPriority w:val="99"/>
    <w:unhideWhenUsed/>
    <w:rsid w:val="002F48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8E1"/>
    <w:rPr>
      <w:rFonts w:ascii="Arial" w:eastAsia="Times New Roman" w:hAnsi="Arial" w:cs="Arial"/>
      <w:color w:val="000000"/>
      <w:kern w:val="0"/>
      <w:sz w:val="24"/>
      <w:szCs w:val="20"/>
      <w:lang w:val="en-AU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F25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2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2A3"/>
    <w:rPr>
      <w:rFonts w:ascii="Arial" w:eastAsia="Times New Roman" w:hAnsi="Arial" w:cs="Arial"/>
      <w:color w:val="000000"/>
      <w:kern w:val="0"/>
      <w:sz w:val="20"/>
      <w:szCs w:val="20"/>
      <w:lang w:val="en-AU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2A3"/>
    <w:rPr>
      <w:rFonts w:ascii="Arial" w:eastAsia="Times New Roman" w:hAnsi="Arial" w:cs="Arial"/>
      <w:b/>
      <w:bCs/>
      <w:color w:val="000000"/>
      <w:kern w:val="0"/>
      <w:sz w:val="20"/>
      <w:szCs w:val="20"/>
      <w:lang w:val="en-AU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4E317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35"/>
    <w:rPr>
      <w:rFonts w:ascii="Segoe UI" w:eastAsia="Times New Roman" w:hAnsi="Segoe UI" w:cs="Segoe UI"/>
      <w:color w:val="000000"/>
      <w:kern w:val="0"/>
      <w:sz w:val="18"/>
      <w:szCs w:val="18"/>
      <w:lang w:val="en-AU" w:eastAsia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nkofgreece.gr/statistika/ekswterikos-tomeas/isozygio-plhrwmwn/taksidiwtikes-yphresi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ankofgreece.gr/RelatedDocuments/2025_%CE%A4%CE%B1%CE%BE%CE%B9%CE%B4%CF%89%CF%84%CE%B9%CE%BA%CF%8C_%CE%97%CE%BC%CE%B5%CF%81%CE%BF%CE%BB%CF%8C%CE%B3%CE%B9%CE%BF_%CE%94%CE%B7%CE%BC%CE%BF%CF%83%CE%AF%CE%B5%CF%85%CF%83%CE%B7%CF%82.xls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ofgreece.gr" TargetMode="External"/><Relationship Id="rId1" Type="http://schemas.openxmlformats.org/officeDocument/2006/relationships/hyperlink" Target="mailto:press@bankofgree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DAA_Title xmlns="affbdc7b-1773-4a70-a615-fbfa6c8a3310" xsi:nil="true"/>
    <SHDAA_Request_ID xmlns="affbdc7b-1773-4a70-a615-fbfa6c8a33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DAA_Forms_Attachments" ma:contentTypeID="0x0101006B5553C3EDA2D84591F13E6AB83077FA00CFC830F019664B478D19A19E7E074E8D" ma:contentTypeVersion="4" ma:contentTypeDescription="" ma:contentTypeScope="" ma:versionID="878cbc6482ec4d781e3b80e6367bb623">
  <xsd:schema xmlns:xsd="http://www.w3.org/2001/XMLSchema" xmlns:xs="http://www.w3.org/2001/XMLSchema" xmlns:p="http://schemas.microsoft.com/office/2006/metadata/properties" xmlns:ns2="affbdc7b-1773-4a70-a615-fbfa6c8a3310" targetNamespace="http://schemas.microsoft.com/office/2006/metadata/properties" ma:root="true" ma:fieldsID="7aaf8c12020e8d9cbcd9514a817a7d7f" ns2:_="">
    <xsd:import namespace="affbdc7b-1773-4a70-a615-fbfa6c8a3310"/>
    <xsd:element name="properties">
      <xsd:complexType>
        <xsd:sequence>
          <xsd:element name="documentManagement">
            <xsd:complexType>
              <xsd:all>
                <xsd:element ref="ns2:SHDAA_Request_ID" minOccurs="0"/>
                <xsd:element ref="ns2:SHDAA_Tit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bdc7b-1773-4a70-a615-fbfa6c8a3310" elementFormDefault="qualified">
    <xsd:import namespace="http://schemas.microsoft.com/office/2006/documentManagement/types"/>
    <xsd:import namespace="http://schemas.microsoft.com/office/infopath/2007/PartnerControls"/>
    <xsd:element name="SHDAA_Request_ID" ma:index="8" nillable="true" ma:displayName="SHDAA_Request_ID" ma:internalName="SHDAA_Request_ID">
      <xsd:simpleType>
        <xsd:restriction base="dms:Text">
          <xsd:maxLength value="255"/>
        </xsd:restriction>
      </xsd:simpleType>
    </xsd:element>
    <xsd:element name="SHDAA_Title" ma:index="9" nillable="true" ma:displayName="SHDAA_Title" ma:internalName="SHDAA_Title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227E5-AC91-4F0E-9E6F-97883B408AD5}">
  <ds:schemaRefs>
    <ds:schemaRef ds:uri="http://schemas.microsoft.com/office/2006/metadata/properties"/>
    <ds:schemaRef ds:uri="http://schemas.microsoft.com/office/infopath/2007/PartnerControls"/>
    <ds:schemaRef ds:uri="affbdc7b-1773-4a70-a615-fbfa6c8a3310"/>
  </ds:schemaRefs>
</ds:datastoreItem>
</file>

<file path=customXml/itemProps2.xml><?xml version="1.0" encoding="utf-8"?>
<ds:datastoreItem xmlns:ds="http://schemas.openxmlformats.org/officeDocument/2006/customXml" ds:itemID="{31F99976-484E-4891-837C-EF1BE2F7A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4D43E-9C75-494F-AAB6-2BEA4B0C8D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241D98-691C-459A-8F73-F1069C8EE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bdc7b-1773-4a70-a615-fbfa6c8a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1378</Words>
  <Characters>7446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Papadiamadopoulou Sofia</dc:creator>
  <cp:keywords/>
  <dc:description/>
  <cp:lastModifiedBy>DANOU, Kleopatra</cp:lastModifiedBy>
  <cp:revision>2</cp:revision>
  <cp:lastPrinted>2025-08-18T08:34:00Z</cp:lastPrinted>
  <dcterms:created xsi:type="dcterms:W3CDTF">2025-08-21T09:13:00Z</dcterms:created>
  <dcterms:modified xsi:type="dcterms:W3CDTF">2025-08-21T09:13:00Z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64f240-1db5-4acf-9bde-572066689a31_Enabled">
    <vt:lpwstr>true</vt:lpwstr>
  </property>
  <property fmtid="{D5CDD505-2E9C-101B-9397-08002B2CF9AE}" pid="3" name="MSIP_Label_2e64f240-1db5-4acf-9bde-572066689a31_SetDate">
    <vt:lpwstr>2025-06-12T12:47:45Z</vt:lpwstr>
  </property>
  <property fmtid="{D5CDD505-2E9C-101B-9397-08002B2CF9AE}" pid="4" name="MSIP_Label_2e64f240-1db5-4acf-9bde-572066689a31_Method">
    <vt:lpwstr>Privileged</vt:lpwstr>
  </property>
  <property fmtid="{D5CDD505-2E9C-101B-9397-08002B2CF9AE}" pid="5" name="MSIP_Label_2e64f240-1db5-4acf-9bde-572066689a31_Name">
    <vt:lpwstr>ΧΩΡΙΣ ΧΑΡΑΚΤΗΡΙΣΜΟ ΑΣΦΑΛΕΙΑΣ</vt:lpwstr>
  </property>
  <property fmtid="{D5CDD505-2E9C-101B-9397-08002B2CF9AE}" pid="6" name="MSIP_Label_2e64f240-1db5-4acf-9bde-572066689a31_SiteId">
    <vt:lpwstr>dabae695-3d3b-4e5d-ab49-009605ba5c68</vt:lpwstr>
  </property>
  <property fmtid="{D5CDD505-2E9C-101B-9397-08002B2CF9AE}" pid="7" name="MSIP_Label_2e64f240-1db5-4acf-9bde-572066689a31_ActionId">
    <vt:lpwstr>e49c527b-0c08-4234-a487-d3fb2cdd1857</vt:lpwstr>
  </property>
  <property fmtid="{D5CDD505-2E9C-101B-9397-08002B2CF9AE}" pid="8" name="MSIP_Label_2e64f240-1db5-4acf-9bde-572066689a31_ContentBits">
    <vt:lpwstr>0</vt:lpwstr>
  </property>
  <property fmtid="{D5CDD505-2E9C-101B-9397-08002B2CF9AE}" pid="9" name="ContentTypeId">
    <vt:lpwstr>0x0101006B5553C3EDA2D84591F13E6AB83077FA00CFC830F019664B478D19A19E7E074E8D</vt:lpwstr>
  </property>
</Properties>
</file>