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51DFE" w14:textId="77777777" w:rsidR="009E5371" w:rsidRDefault="00261BCD" w:rsidP="00BF5F85">
      <w:pPr>
        <w:spacing w:after="0" w:line="240" w:lineRule="auto"/>
      </w:pPr>
      <w:r>
        <w:rPr>
          <w:noProof/>
          <w:lang w:eastAsia="en-GB"/>
        </w:rPr>
        <w:drawing>
          <wp:inline distT="0" distB="0" distL="0" distR="0" wp14:anchorId="3FE1602D" wp14:editId="4433866C">
            <wp:extent cx="2727297" cy="333955"/>
            <wp:effectExtent l="0" t="0" r="0" b="9525"/>
            <wp:docPr id="5" name="Picture 5" descr="C:\Users\V434\AppData\Local\Microsoft\Windows\Temporary Internet Files\Content.Outlook\V1RTQ0A9\BOC_HOLDINGS_logo.jpg"/>
            <wp:cNvGraphicFramePr/>
            <a:graphic xmlns:a="http://schemas.openxmlformats.org/drawingml/2006/main">
              <a:graphicData uri="http://schemas.openxmlformats.org/drawingml/2006/picture">
                <pic:pic xmlns:pic="http://schemas.openxmlformats.org/drawingml/2006/picture">
                  <pic:nvPicPr>
                    <pic:cNvPr id="5" name="Picture 5" descr="C:\Users\V434\AppData\Local\Microsoft\Windows\Temporary Internet Files\Content.Outlook\V1RTQ0A9\BOC_HOLDINGS_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297" cy="333955"/>
                    </a:xfrm>
                    <a:prstGeom prst="rect">
                      <a:avLst/>
                    </a:prstGeom>
                    <a:noFill/>
                    <a:ln>
                      <a:noFill/>
                    </a:ln>
                  </pic:spPr>
                </pic:pic>
              </a:graphicData>
            </a:graphic>
          </wp:inline>
        </w:drawing>
      </w:r>
    </w:p>
    <w:p w14:paraId="30AC8120" w14:textId="77777777" w:rsidR="00537067" w:rsidRDefault="00537067" w:rsidP="00BF5F85">
      <w:pPr>
        <w:spacing w:after="0" w:line="240" w:lineRule="auto"/>
        <w:rPr>
          <w:rFonts w:eastAsia="Arial" w:cs="Arial"/>
          <w:color w:val="333333"/>
          <w:sz w:val="36"/>
          <w:szCs w:val="36"/>
        </w:rPr>
      </w:pPr>
    </w:p>
    <w:p w14:paraId="64E27905" w14:textId="77777777" w:rsidR="009E5371" w:rsidRPr="00510FDF" w:rsidRDefault="00A213E3" w:rsidP="00BF5F85">
      <w:pPr>
        <w:spacing w:after="0" w:line="240" w:lineRule="auto"/>
        <w:rPr>
          <w:rFonts w:ascii="Arial" w:eastAsia="Arial" w:hAnsi="Arial" w:cs="Arial"/>
          <w:sz w:val="32"/>
          <w:szCs w:val="32"/>
          <w:lang w:val="el-GR"/>
        </w:rPr>
      </w:pPr>
      <w:r w:rsidRPr="00510FDF">
        <w:rPr>
          <w:rFonts w:ascii="Arial" w:eastAsia="Arial" w:hAnsi="Arial" w:cs="Arial"/>
          <w:sz w:val="32"/>
          <w:szCs w:val="32"/>
          <w:lang w:val="el-GR"/>
        </w:rPr>
        <w:t>Ανακοίνωση</w:t>
      </w:r>
    </w:p>
    <w:p w14:paraId="5F49B132" w14:textId="77777777" w:rsidR="008B18E9" w:rsidRPr="00510FDF" w:rsidRDefault="008B18E9" w:rsidP="00BF5F85">
      <w:pPr>
        <w:spacing w:after="0" w:line="240" w:lineRule="auto"/>
        <w:rPr>
          <w:rFonts w:ascii="Arial" w:eastAsia="Arial" w:hAnsi="Arial" w:cs="Arial"/>
          <w:sz w:val="32"/>
          <w:szCs w:val="32"/>
          <w:lang w:val="el-GR"/>
        </w:rPr>
      </w:pPr>
    </w:p>
    <w:p w14:paraId="291FB916" w14:textId="64806A3D" w:rsidR="00537067" w:rsidRDefault="00D035A6" w:rsidP="0026384D">
      <w:pPr>
        <w:spacing w:after="0" w:line="240" w:lineRule="auto"/>
        <w:rPr>
          <w:rFonts w:ascii="Arial" w:eastAsia="Arial" w:hAnsi="Arial" w:cs="Arial"/>
          <w:sz w:val="32"/>
          <w:szCs w:val="32"/>
          <w:lang w:val="el-GR"/>
        </w:rPr>
      </w:pPr>
      <w:r>
        <w:rPr>
          <w:rFonts w:ascii="Arial" w:eastAsia="Arial" w:hAnsi="Arial" w:cs="Arial"/>
          <w:sz w:val="32"/>
          <w:szCs w:val="32"/>
          <w:lang w:val="el-GR"/>
        </w:rPr>
        <w:t xml:space="preserve">Καταβολή ενδιάμεσου μερίσματος </w:t>
      </w:r>
      <w:r w:rsidR="009A283A" w:rsidRPr="009A283A">
        <w:rPr>
          <w:rFonts w:ascii="Arial" w:eastAsia="Arial" w:hAnsi="Arial" w:cs="Arial"/>
          <w:sz w:val="32"/>
          <w:szCs w:val="32"/>
          <w:lang w:val="el-GR"/>
        </w:rPr>
        <w:t>ύψους €0.20 ανά συνήθη μετοχή</w:t>
      </w:r>
    </w:p>
    <w:p w14:paraId="0CFA217C" w14:textId="77777777" w:rsidR="00D035A6" w:rsidRDefault="00D035A6" w:rsidP="0026384D">
      <w:pPr>
        <w:spacing w:after="0" w:line="240" w:lineRule="auto"/>
        <w:rPr>
          <w:rFonts w:ascii="Arial" w:eastAsia="Arial" w:hAnsi="Arial" w:cs="Arial"/>
          <w:sz w:val="32"/>
          <w:szCs w:val="32"/>
          <w:lang w:val="el-GR"/>
        </w:rPr>
      </w:pPr>
    </w:p>
    <w:p w14:paraId="14595292" w14:textId="2A90FC64" w:rsidR="00D035A6" w:rsidRPr="00D035A6" w:rsidRDefault="00D035A6" w:rsidP="0026384D">
      <w:pPr>
        <w:spacing w:after="0" w:line="240" w:lineRule="auto"/>
        <w:rPr>
          <w:rFonts w:ascii="Arial" w:hAnsi="Arial" w:cs="Arial"/>
          <w:sz w:val="30"/>
          <w:szCs w:val="30"/>
          <w:lang w:val="el-GR"/>
        </w:rPr>
      </w:pPr>
      <w:r>
        <w:rPr>
          <w:rFonts w:ascii="Arial" w:hAnsi="Arial" w:cs="Arial"/>
          <w:sz w:val="30"/>
          <w:szCs w:val="30"/>
          <w:lang w:val="el-GR"/>
        </w:rPr>
        <w:t xml:space="preserve">Στόχος για ποσοστό διανομή ύψους 70% </w:t>
      </w:r>
      <w:r w:rsidRPr="00D035A6">
        <w:rPr>
          <w:rFonts w:ascii="Arial" w:hAnsi="Arial" w:cs="Arial"/>
          <w:sz w:val="30"/>
          <w:szCs w:val="30"/>
          <w:lang w:val="el-GR"/>
        </w:rPr>
        <w:t>(</w:t>
      </w:r>
      <w:r w:rsidR="00665E98" w:rsidRPr="00665E98">
        <w:rPr>
          <w:rFonts w:ascii="Arial" w:hAnsi="Arial" w:cs="Arial"/>
          <w:sz w:val="30"/>
          <w:szCs w:val="30"/>
          <w:lang w:val="el-GR"/>
        </w:rPr>
        <w:t>‘</w:t>
      </w:r>
      <w:r>
        <w:rPr>
          <w:rFonts w:ascii="Arial" w:hAnsi="Arial" w:cs="Arial"/>
          <w:sz w:val="30"/>
          <w:szCs w:val="30"/>
          <w:lang w:val="en-US"/>
        </w:rPr>
        <w:t>payout</w:t>
      </w:r>
      <w:r w:rsidRPr="00D035A6">
        <w:rPr>
          <w:rFonts w:ascii="Arial" w:hAnsi="Arial" w:cs="Arial"/>
          <w:sz w:val="30"/>
          <w:szCs w:val="30"/>
          <w:lang w:val="el-GR"/>
        </w:rPr>
        <w:t xml:space="preserve"> </w:t>
      </w:r>
      <w:r>
        <w:rPr>
          <w:rFonts w:ascii="Arial" w:hAnsi="Arial" w:cs="Arial"/>
          <w:sz w:val="30"/>
          <w:szCs w:val="30"/>
          <w:lang w:val="en-US"/>
        </w:rPr>
        <w:t>ratio</w:t>
      </w:r>
      <w:r w:rsidR="00665E98" w:rsidRPr="00665E98">
        <w:rPr>
          <w:rFonts w:ascii="Arial" w:hAnsi="Arial" w:cs="Arial"/>
          <w:sz w:val="30"/>
          <w:szCs w:val="30"/>
          <w:lang w:val="el-GR"/>
        </w:rPr>
        <w:t>’</w:t>
      </w:r>
      <w:r w:rsidRPr="00D035A6">
        <w:rPr>
          <w:rFonts w:ascii="Arial" w:hAnsi="Arial" w:cs="Arial"/>
          <w:sz w:val="30"/>
          <w:szCs w:val="30"/>
          <w:lang w:val="el-GR"/>
        </w:rPr>
        <w:t xml:space="preserve">) </w:t>
      </w:r>
      <w:r>
        <w:rPr>
          <w:rFonts w:ascii="Arial" w:hAnsi="Arial" w:cs="Arial"/>
          <w:sz w:val="30"/>
          <w:szCs w:val="30"/>
          <w:lang w:val="el-GR"/>
        </w:rPr>
        <w:t xml:space="preserve">για το </w:t>
      </w:r>
      <w:r w:rsidR="00AB3C91">
        <w:rPr>
          <w:rFonts w:ascii="Arial" w:hAnsi="Arial" w:cs="Arial"/>
          <w:sz w:val="30"/>
          <w:szCs w:val="30"/>
          <w:lang w:val="el-GR"/>
        </w:rPr>
        <w:t>2025</w:t>
      </w:r>
    </w:p>
    <w:p w14:paraId="775B2901" w14:textId="172F44DF" w:rsidR="00510FDF" w:rsidRPr="0066342F" w:rsidRDefault="009A283A" w:rsidP="00BF5F85">
      <w:pPr>
        <w:spacing w:after="0" w:line="240" w:lineRule="auto"/>
        <w:rPr>
          <w:rFonts w:ascii="Arial" w:hAnsi="Arial" w:cs="Arial"/>
          <w:sz w:val="28"/>
          <w:szCs w:val="28"/>
          <w:lang w:val="el-GR"/>
        </w:rPr>
      </w:pPr>
      <w:r w:rsidRPr="004A5A68">
        <w:rPr>
          <w:rFonts w:ascii="Arial" w:eastAsia="Arial" w:hAnsi="Arial" w:cs="Arial"/>
          <w:noProof/>
          <w:color w:val="333333"/>
          <w:sz w:val="28"/>
          <w:szCs w:val="28"/>
          <w:lang w:eastAsia="en-GB"/>
        </w:rPr>
        <mc:AlternateContent>
          <mc:Choice Requires="wpg">
            <w:drawing>
              <wp:anchor distT="0" distB="0" distL="114300" distR="114300" simplePos="0" relativeHeight="251658240" behindDoc="1" locked="0" layoutInCell="1" allowOverlap="1" wp14:anchorId="07B8C28B" wp14:editId="305B3A65">
                <wp:simplePos x="0" y="0"/>
                <wp:positionH relativeFrom="page">
                  <wp:posOffset>-113030</wp:posOffset>
                </wp:positionH>
                <wp:positionV relativeFrom="page">
                  <wp:posOffset>3258820</wp:posOffset>
                </wp:positionV>
                <wp:extent cx="7430770" cy="69850"/>
                <wp:effectExtent l="0" t="1905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0770" cy="69850"/>
                          <a:chOff x="0" y="3192"/>
                          <a:chExt cx="10634" cy="2"/>
                        </a:xfrm>
                      </wpg:grpSpPr>
                      <wps:wsp>
                        <wps:cNvPr id="8" name="Freeform 5"/>
                        <wps:cNvSpPr>
                          <a:spLocks/>
                        </wps:cNvSpPr>
                        <wps:spPr bwMode="auto">
                          <a:xfrm>
                            <a:off x="0" y="3192"/>
                            <a:ext cx="10634" cy="2"/>
                          </a:xfrm>
                          <a:custGeom>
                            <a:avLst/>
                            <a:gdLst>
                              <a:gd name="T0" fmla="*/ 0 w 10634"/>
                              <a:gd name="T1" fmla="*/ 10634 w 10634"/>
                            </a:gdLst>
                            <a:ahLst/>
                            <a:cxnLst>
                              <a:cxn ang="0">
                                <a:pos x="T0" y="0"/>
                              </a:cxn>
                              <a:cxn ang="0">
                                <a:pos x="T1" y="0"/>
                              </a:cxn>
                            </a:cxnLst>
                            <a:rect l="0" t="0" r="r" b="b"/>
                            <a:pathLst>
                              <a:path w="10634">
                                <a:moveTo>
                                  <a:pt x="0" y="0"/>
                                </a:moveTo>
                                <a:lnTo>
                                  <a:pt x="10634" y="0"/>
                                </a:lnTo>
                              </a:path>
                            </a:pathLst>
                          </a:custGeom>
                          <a:noFill/>
                          <a:ln w="28702">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CB28B" id="Group 4" o:spid="_x0000_s1026" style="position:absolute;margin-left:-8.9pt;margin-top:256.6pt;width:585.1pt;height:5.5pt;z-index:-251658240;mso-position-horizontal-relative:page;mso-position-vertical-relative:page" coordorigin=",3192" coordsize="10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vf2AIAAI4GAAAOAAAAZHJzL2Uyb0RvYy54bWykVdtu2zAMfR+wfxD0OGC1naZNY9QphrYp&#10;BuxSoN0HKLJ8wWRJk5Q43dePouzGzVBg6F4CyqTIw8Mj5vJq30myE9a1WhU0O0kpEYrrslV1QX88&#10;rj9eUOI8UyWTWomCPglHr1bv3132Jhcz3WhZCksgiXJ5bwraeG/yJHG8ER1zJ9oIBc5K2455ONo6&#10;KS3rIXsnk1manie9tqWxmgvn4OtNdNIV5q8qwf33qnLCE1lQwObx1+LvJvwmq0uW15aZpuUDDPYG&#10;FB1rFRR9TnXDPCNb2/6Vqmu51U5X/oTrLtFV1XKBPUA3WXrUzZ3VW4O91Hlfm2eagNojnt6cln/b&#10;3VnzYO5tRA/mF81/OuAl6U2dT/3hXMdgsum/6hLmybZeY+P7ynYhBbRE9sjv0zO/Yu8Jh4+L+Wm6&#10;WMAYOPjOlxdnA/+8gSEdbp1my1kcDG9uh6tZen46jxfRl7A8VkSUA6owdZCROzDl/o+ph4YZgQNw&#10;gYl7S9qyoCBpxTpofm2FCNIkZwFuqA1BI5duSuTEE8Ic8P2PFB7IGFl8lQqW863zd0LjINjui/NR&#10;3iVYON5yAP4IM6g6CUr/kJCU9CTmHKLHoGwShAHTQBhAPeZlzViK79VQCyzCwhJIUR5GuzDgUHjU&#10;BWSAoIDrlViofxwb7wwlLLzu43dtKYF3vYnyMcwHZKFEMEkPGwp1FL50eiceNfr8QXuoSKhy8Eo1&#10;jRrIn+CKfrgSSsCriQaWDWgnE1F63UqJJEsVwMwuFukM6XFatmXwBjzO1ptracmOwdJar5fLdET1&#10;IgyWgyoxWyNYeTvYnrUy2lBdAr3wQKLgokI3unwC8VkdVyGsbjAabX9T0sMaLKj7tWVWUCI/K3g9&#10;y2w+D3sTD/OzxQwOdurZTD1McUhVUE9h9sG89nHXbo1t6wYqZdiu0p9gb1Rt0Cfii6iGAzxgtHDp&#10;gfViq07PGHX4G1n9AQAA//8DAFBLAwQUAAYACAAAACEAFPqPuuIAAAAMAQAADwAAAGRycy9kb3du&#10;cmV2LnhtbEyPwU7DMBBE70j8g7VI3FrHbgMoxKmqCjhVSG2REDc33iZR43UUu0n697gnOO7saOZN&#10;vppsywbsfeNIgZgnwJBKZxqqFHwd3mcvwHzQZHTrCBVc0cOquL/LdWbcSDsc9qFiMYR8phXUIXQZ&#10;576s0Wo/dx1S/J1cb3WIZ19x0+sxhtuWyyR54lY3FBtq3eGmxvK8v1gFH6Me1wvxNmzPp83155B+&#10;fm8FKvX4MK1fgQWcwp8ZbvgRHYrIdHQXMp61CmbiOaIHBalYSGA3h0jlEtgxSnIpgRc5/z+i+AUA&#10;AP//AwBQSwECLQAUAAYACAAAACEAtoM4kv4AAADhAQAAEwAAAAAAAAAAAAAAAAAAAAAAW0NvbnRl&#10;bnRfVHlwZXNdLnhtbFBLAQItABQABgAIAAAAIQA4/SH/1gAAAJQBAAALAAAAAAAAAAAAAAAAAC8B&#10;AABfcmVscy8ucmVsc1BLAQItABQABgAIAAAAIQDXsYvf2AIAAI4GAAAOAAAAAAAAAAAAAAAAAC4C&#10;AABkcnMvZTJvRG9jLnhtbFBLAQItABQABgAIAAAAIQAU+o+64gAAAAwBAAAPAAAAAAAAAAAAAAAA&#10;ADIFAABkcnMvZG93bnJldi54bWxQSwUGAAAAAAQABADzAAAAQQYAAAAA&#10;">
                <v:shape id="Freeform 5" o:spid="_x0000_s1027" style="position:absolute;top:3192;width:10634;height:2;visibility:visible;mso-wrap-style:square;v-text-anchor:top"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08uwAAANoAAAAPAAAAZHJzL2Rvd25yZXYueG1sRE+7CsIw&#10;FN0F/yFcwU1TFUSqqagguvpY3C7NtS1tbkoT2+rXm0FwPJz3ZtubSrTUuMKygtk0AkGcWl1wpuB+&#10;O05WIJxH1lhZJgVvcrBNhoMNxtp2fKH26jMRQtjFqCD3vo6ldGlOBt3U1sSBe9rGoA+wyaRusAvh&#10;ppLzKFpKgwWHhhxrOuSUlteXUdA9yjOeFvdFQavPPnU7mZlTq9R41O/WIDz1/i/+uc9aQdgaroQb&#10;IJMvAAAA//8DAFBLAQItABQABgAIAAAAIQDb4fbL7gAAAIUBAAATAAAAAAAAAAAAAAAAAAAAAABb&#10;Q29udGVudF9UeXBlc10ueG1sUEsBAi0AFAAGAAgAAAAhAFr0LFu/AAAAFQEAAAsAAAAAAAAAAAAA&#10;AAAAHwEAAF9yZWxzLy5yZWxzUEsBAi0AFAAGAAgAAAAhAIGi7Ty7AAAA2gAAAA8AAAAAAAAAAAAA&#10;AAAABwIAAGRycy9kb3ducmV2LnhtbFBLBQYAAAAAAwADALcAAADvAgAAAAA=&#10;" path="m,l10634,e" filled="f" strokecolor="#f90" strokeweight="2.26pt">
                  <v:path arrowok="t" o:connecttype="custom" o:connectlocs="0,0;10634,0" o:connectangles="0,0"/>
                </v:shape>
                <w10:wrap anchorx="page" anchory="page"/>
              </v:group>
            </w:pict>
          </mc:Fallback>
        </mc:AlternateContent>
      </w:r>
    </w:p>
    <w:p w14:paraId="0EF4B25C" w14:textId="54C8B53A" w:rsidR="009E5371" w:rsidRPr="00905FAE" w:rsidRDefault="00A213E3" w:rsidP="00BF5F85">
      <w:pPr>
        <w:spacing w:after="0" w:line="240" w:lineRule="auto"/>
        <w:rPr>
          <w:rFonts w:ascii="Arial" w:hAnsi="Arial" w:cs="Arial"/>
          <w:sz w:val="20"/>
          <w:szCs w:val="20"/>
          <w:lang w:val="el-GR"/>
        </w:rPr>
      </w:pPr>
      <w:r w:rsidRPr="00510FDF">
        <w:rPr>
          <w:rFonts w:ascii="Arial" w:hAnsi="Arial" w:cs="Arial"/>
          <w:sz w:val="20"/>
          <w:szCs w:val="20"/>
          <w:lang w:val="el-GR"/>
        </w:rPr>
        <w:t>Λευκωσία</w:t>
      </w:r>
      <w:r w:rsidR="00FA7FAC" w:rsidRPr="00510FDF">
        <w:rPr>
          <w:rFonts w:ascii="Arial" w:hAnsi="Arial" w:cs="Arial"/>
          <w:sz w:val="20"/>
          <w:szCs w:val="20"/>
          <w:lang w:val="el-GR"/>
        </w:rPr>
        <w:t xml:space="preserve">, </w:t>
      </w:r>
      <w:r w:rsidR="00AB3C91">
        <w:rPr>
          <w:rFonts w:ascii="Arial" w:hAnsi="Arial" w:cs="Arial"/>
          <w:sz w:val="20"/>
          <w:szCs w:val="20"/>
          <w:lang w:val="el-GR"/>
        </w:rPr>
        <w:t>5</w:t>
      </w:r>
      <w:r w:rsidR="008C294D" w:rsidRPr="00E727B5">
        <w:rPr>
          <w:rFonts w:ascii="Arial" w:hAnsi="Arial" w:cs="Arial"/>
          <w:sz w:val="20"/>
          <w:szCs w:val="20"/>
          <w:lang w:val="el-GR"/>
        </w:rPr>
        <w:t xml:space="preserve"> </w:t>
      </w:r>
      <w:r w:rsidR="00AB3C91">
        <w:rPr>
          <w:rFonts w:ascii="Arial" w:hAnsi="Arial" w:cs="Arial"/>
          <w:sz w:val="20"/>
          <w:szCs w:val="20"/>
          <w:lang w:val="el-GR"/>
        </w:rPr>
        <w:t>Αυγούστου</w:t>
      </w:r>
      <w:r w:rsidR="008C294D" w:rsidRPr="00C45E40">
        <w:rPr>
          <w:rFonts w:ascii="Arial" w:hAnsi="Arial" w:cs="Arial"/>
          <w:sz w:val="20"/>
          <w:szCs w:val="20"/>
          <w:lang w:val="el-GR"/>
        </w:rPr>
        <w:t xml:space="preserve"> </w:t>
      </w:r>
      <w:r w:rsidR="00361512" w:rsidRPr="00510FDF">
        <w:rPr>
          <w:rFonts w:ascii="Arial" w:hAnsi="Arial" w:cs="Arial"/>
          <w:sz w:val="20"/>
          <w:szCs w:val="20"/>
          <w:lang w:val="el-GR"/>
        </w:rPr>
        <w:t>20</w:t>
      </w:r>
      <w:r w:rsidR="0057067F" w:rsidRPr="00510FDF">
        <w:rPr>
          <w:rFonts w:ascii="Arial" w:hAnsi="Arial" w:cs="Arial"/>
          <w:sz w:val="20"/>
          <w:szCs w:val="20"/>
          <w:lang w:val="el-GR"/>
        </w:rPr>
        <w:t>2</w:t>
      </w:r>
      <w:r w:rsidR="00905FAE" w:rsidRPr="00905FAE">
        <w:rPr>
          <w:rFonts w:ascii="Arial" w:hAnsi="Arial" w:cs="Arial"/>
          <w:sz w:val="20"/>
          <w:szCs w:val="20"/>
          <w:lang w:val="el-GR"/>
        </w:rPr>
        <w:t>5</w:t>
      </w:r>
    </w:p>
    <w:p w14:paraId="5C6B32F6" w14:textId="77777777" w:rsidR="009E5371" w:rsidRPr="00510FDF" w:rsidRDefault="009E5371" w:rsidP="00BF5F85">
      <w:pPr>
        <w:spacing w:after="0" w:line="240" w:lineRule="auto"/>
        <w:ind w:left="339" w:right="-20"/>
        <w:rPr>
          <w:rFonts w:ascii="Arial" w:eastAsia="Arial" w:hAnsi="Arial" w:cs="Arial"/>
          <w:b/>
          <w:bCs/>
          <w:i/>
          <w:sz w:val="16"/>
          <w:szCs w:val="16"/>
          <w:lang w:val="el-GR"/>
        </w:rPr>
      </w:pPr>
    </w:p>
    <w:p w14:paraId="178EE268" w14:textId="77777777" w:rsidR="009E5371" w:rsidRPr="00510FDF" w:rsidRDefault="009E5371" w:rsidP="00BF5F85">
      <w:pPr>
        <w:spacing w:after="0" w:line="240" w:lineRule="auto"/>
        <w:ind w:left="339" w:right="-20"/>
        <w:rPr>
          <w:rFonts w:ascii="Arial" w:eastAsia="Arial" w:hAnsi="Arial" w:cs="Arial"/>
          <w:b/>
          <w:bCs/>
          <w:i/>
          <w:sz w:val="16"/>
          <w:szCs w:val="16"/>
          <w:lang w:val="el-GR"/>
        </w:rPr>
      </w:pPr>
    </w:p>
    <w:p w14:paraId="5F907DDB" w14:textId="77777777" w:rsidR="002758F8" w:rsidRPr="00510FDF" w:rsidRDefault="002758F8" w:rsidP="00EC1043">
      <w:pPr>
        <w:spacing w:after="0" w:line="240" w:lineRule="auto"/>
        <w:ind w:right="-20"/>
        <w:jc w:val="both"/>
        <w:rPr>
          <w:rFonts w:ascii="Arial" w:hAnsi="Arial" w:cs="Arial"/>
          <w:lang w:val="el-GR"/>
        </w:rPr>
      </w:pPr>
    </w:p>
    <w:p w14:paraId="07C05FA2" w14:textId="77777777" w:rsidR="00006CB2" w:rsidRDefault="00006CB2" w:rsidP="00AA7990">
      <w:pPr>
        <w:widowControl w:val="0"/>
        <w:autoSpaceDE w:val="0"/>
        <w:autoSpaceDN w:val="0"/>
        <w:adjustRightInd w:val="0"/>
        <w:spacing w:after="0" w:line="240" w:lineRule="auto"/>
        <w:jc w:val="both"/>
        <w:rPr>
          <w:rFonts w:ascii="Arial" w:hAnsi="Arial" w:cs="Arial"/>
          <w:lang w:val="el-GR"/>
        </w:rPr>
      </w:pPr>
    </w:p>
    <w:p w14:paraId="3A984D61"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66B86440"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2F522A18"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03AA105F"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52B2143C"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04D8B3C4"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111066BF"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370F0A02"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2E03313F"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4887F34C"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2C976500"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76C89674"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38AF86F6"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6FAA8CCF"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0D91D8CA"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59F2D2CB"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7D2B4CB9"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770268AE"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14E06DD1"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6BBA3940"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62205CD8"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48AAE883"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245CE3A0"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6B0DE70C"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4C2BC1E4"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0F2C1FFF"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2A68D0F9"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4B7FF1C2" w14:textId="77777777" w:rsidR="00D152CE" w:rsidRDefault="00D152CE" w:rsidP="00AA7990">
      <w:pPr>
        <w:widowControl w:val="0"/>
        <w:autoSpaceDE w:val="0"/>
        <w:autoSpaceDN w:val="0"/>
        <w:adjustRightInd w:val="0"/>
        <w:spacing w:after="0" w:line="240" w:lineRule="auto"/>
        <w:jc w:val="both"/>
        <w:rPr>
          <w:rFonts w:ascii="Arial" w:hAnsi="Arial" w:cs="Arial"/>
          <w:lang w:val="el-GR"/>
        </w:rPr>
      </w:pPr>
    </w:p>
    <w:p w14:paraId="4D22973B" w14:textId="77777777" w:rsidR="00D152CE" w:rsidRPr="001D20A6" w:rsidRDefault="00D152CE" w:rsidP="00D152CE">
      <w:pPr>
        <w:spacing w:after="0" w:line="240" w:lineRule="auto"/>
        <w:ind w:right="-20"/>
        <w:rPr>
          <w:rFonts w:ascii="Arial" w:eastAsia="Times New Roman" w:hAnsi="Arial" w:cs="Arial"/>
          <w:b/>
          <w:i/>
          <w:sz w:val="16"/>
          <w:szCs w:val="16"/>
          <w:lang w:val="el-GR"/>
        </w:rPr>
      </w:pPr>
      <w:r w:rsidRPr="001D20A6">
        <w:rPr>
          <w:rFonts w:ascii="Arial" w:eastAsia="Times New Roman" w:hAnsi="Arial" w:cs="Arial"/>
          <w:b/>
          <w:i/>
          <w:sz w:val="16"/>
          <w:szCs w:val="16"/>
          <w:lang w:val="el-GR"/>
        </w:rPr>
        <w:t xml:space="preserve">Προφίλ Συγκροτήματος </w:t>
      </w:r>
    </w:p>
    <w:p w14:paraId="43109BDC" w14:textId="77777777" w:rsidR="00D152CE" w:rsidRPr="001D20A6" w:rsidRDefault="00D152CE" w:rsidP="00D152CE">
      <w:pPr>
        <w:spacing w:after="0" w:line="240" w:lineRule="auto"/>
        <w:ind w:right="-20"/>
        <w:rPr>
          <w:rFonts w:ascii="Arial" w:eastAsia="Times New Roman" w:hAnsi="Arial" w:cs="Arial"/>
          <w:b/>
          <w:i/>
          <w:sz w:val="16"/>
          <w:szCs w:val="16"/>
          <w:lang w:val="el-GR"/>
        </w:rPr>
      </w:pPr>
    </w:p>
    <w:p w14:paraId="298CEAC6" w14:textId="77777777" w:rsidR="00D152CE" w:rsidRDefault="00D152CE" w:rsidP="00D152CE">
      <w:pPr>
        <w:spacing w:line="240" w:lineRule="auto"/>
        <w:jc w:val="both"/>
        <w:rPr>
          <w:rFonts w:ascii="Arial" w:eastAsia="Arial" w:hAnsi="Arial" w:cs="Arial"/>
          <w:bCs/>
          <w:i/>
          <w:sz w:val="16"/>
          <w:szCs w:val="16"/>
          <w:lang w:val="el-GR"/>
        </w:rPr>
      </w:pPr>
      <w:r w:rsidRPr="001C7418">
        <w:rPr>
          <w:rFonts w:ascii="Arial" w:eastAsia="Arial" w:hAnsi="Arial" w:cs="Arial"/>
          <w:bCs/>
          <w:i/>
          <w:sz w:val="16"/>
          <w:szCs w:val="16"/>
          <w:lang w:val="en-US"/>
        </w:rPr>
        <w:t>T</w:t>
      </w:r>
      <w:r w:rsidRPr="001C7418">
        <w:rPr>
          <w:rFonts w:ascii="Arial" w:eastAsia="Arial" w:hAnsi="Arial" w:cs="Arial"/>
          <w:bCs/>
          <w:i/>
          <w:sz w:val="16"/>
          <w:szCs w:val="16"/>
          <w:lang w:val="el-GR"/>
        </w:rPr>
        <w:t xml:space="preserve">ο Συγκρότημα Τράπεζας Κύπρου είναι ο μεγαλύτερος χρηματοοικονομικός οργανισμός στην Κύπρο και προσφέρει ένα ευρύ φάσμα χρηματοοικονομικών προϊόντων και υπηρεσιών που περιλαμβάνει τραπεζικές υπηρεσίες, χρηματοδοτήσεις, φάκτοριγκ, χρηματοεπενδυτικές υπηρεσίες, διαχείριση κεφαλαίων και ασφάλειες γενικού κλάδου και ζωής. Στις </w:t>
      </w:r>
      <w:r>
        <w:rPr>
          <w:rFonts w:ascii="Arial" w:eastAsia="Arial" w:hAnsi="Arial" w:cs="Arial"/>
          <w:bCs/>
          <w:i/>
          <w:sz w:val="16"/>
          <w:szCs w:val="16"/>
          <w:lang w:val="el-GR"/>
        </w:rPr>
        <w:t>30 Ιουνίου</w:t>
      </w:r>
      <w:r w:rsidRPr="001C7418">
        <w:rPr>
          <w:rFonts w:ascii="Arial" w:eastAsia="Arial" w:hAnsi="Arial" w:cs="Arial"/>
          <w:bCs/>
          <w:i/>
          <w:sz w:val="16"/>
          <w:szCs w:val="16"/>
          <w:lang w:val="el-GR"/>
        </w:rPr>
        <w:t xml:space="preserve"> 2025, το Συγκρότημα Τράπεζας Κύπρου λειτουργούσε μέσω 56 καταστημάτων στην Κύπρο, εκ των οποίων τα 2 λειτουργούσαν ως θυρίδες.</w:t>
      </w:r>
      <w:r>
        <w:rPr>
          <w:rFonts w:ascii="Arial" w:eastAsia="Arial" w:hAnsi="Arial" w:cs="Arial"/>
          <w:bCs/>
          <w:i/>
          <w:sz w:val="16"/>
          <w:szCs w:val="16"/>
          <w:lang w:val="el-GR"/>
        </w:rPr>
        <w:t xml:space="preserve"> </w:t>
      </w:r>
      <w:r w:rsidRPr="001C7418">
        <w:rPr>
          <w:rFonts w:ascii="Arial" w:eastAsia="Arial" w:hAnsi="Arial" w:cs="Arial"/>
          <w:bCs/>
          <w:i/>
          <w:sz w:val="16"/>
          <w:szCs w:val="16"/>
          <w:lang w:val="el-GR"/>
        </w:rPr>
        <w:t>Το Συγκρότημα Τράπεζας Κύπρου εργοδοτούσε 2,85</w:t>
      </w:r>
      <w:r>
        <w:rPr>
          <w:rFonts w:ascii="Arial" w:eastAsia="Arial" w:hAnsi="Arial" w:cs="Arial"/>
          <w:bCs/>
          <w:i/>
          <w:sz w:val="16"/>
          <w:szCs w:val="16"/>
          <w:lang w:val="el-GR"/>
        </w:rPr>
        <w:t>8</w:t>
      </w:r>
      <w:r w:rsidRPr="001C7418">
        <w:rPr>
          <w:rFonts w:ascii="Arial" w:eastAsia="Arial" w:hAnsi="Arial" w:cs="Arial"/>
          <w:bCs/>
          <w:i/>
          <w:sz w:val="16"/>
          <w:szCs w:val="16"/>
          <w:lang w:val="el-GR"/>
        </w:rPr>
        <w:t xml:space="preserve"> άτομα διεθνώς. Στις </w:t>
      </w:r>
      <w:r>
        <w:rPr>
          <w:rFonts w:ascii="Arial" w:eastAsia="Arial" w:hAnsi="Arial" w:cs="Arial"/>
          <w:bCs/>
          <w:i/>
          <w:sz w:val="16"/>
          <w:szCs w:val="16"/>
          <w:lang w:val="el-GR"/>
        </w:rPr>
        <w:t>30</w:t>
      </w:r>
      <w:r w:rsidRPr="001C7418">
        <w:rPr>
          <w:rFonts w:ascii="Arial" w:eastAsia="Arial" w:hAnsi="Arial" w:cs="Arial"/>
          <w:bCs/>
          <w:i/>
          <w:sz w:val="16"/>
          <w:szCs w:val="16"/>
          <w:lang w:val="el-GR"/>
        </w:rPr>
        <w:t xml:space="preserve"> </w:t>
      </w:r>
      <w:r>
        <w:rPr>
          <w:rFonts w:ascii="Arial" w:eastAsia="Arial" w:hAnsi="Arial" w:cs="Arial"/>
          <w:bCs/>
          <w:i/>
          <w:sz w:val="16"/>
          <w:szCs w:val="16"/>
          <w:lang w:val="el-GR"/>
        </w:rPr>
        <w:t>Ιουνίου</w:t>
      </w:r>
      <w:r w:rsidRPr="001C7418">
        <w:rPr>
          <w:rFonts w:ascii="Arial" w:eastAsia="Arial" w:hAnsi="Arial" w:cs="Arial"/>
          <w:bCs/>
          <w:i/>
          <w:sz w:val="16"/>
          <w:szCs w:val="16"/>
          <w:lang w:val="el-GR"/>
        </w:rPr>
        <w:t xml:space="preserve"> 2025, το Σύνολο Περιουσιακών Στοιχείων ανερχόταν σε €2</w:t>
      </w:r>
      <w:r>
        <w:rPr>
          <w:rFonts w:ascii="Arial" w:eastAsia="Arial" w:hAnsi="Arial" w:cs="Arial"/>
          <w:bCs/>
          <w:i/>
          <w:sz w:val="16"/>
          <w:szCs w:val="16"/>
          <w:lang w:val="el-GR"/>
        </w:rPr>
        <w:t>7</w:t>
      </w:r>
      <w:r w:rsidRPr="001C7418">
        <w:rPr>
          <w:rFonts w:ascii="Arial" w:eastAsia="Arial" w:hAnsi="Arial" w:cs="Arial"/>
          <w:bCs/>
          <w:i/>
          <w:sz w:val="16"/>
          <w:szCs w:val="16"/>
          <w:lang w:val="el-GR"/>
        </w:rPr>
        <w:t>.</w:t>
      </w:r>
      <w:r>
        <w:rPr>
          <w:rFonts w:ascii="Arial" w:eastAsia="Arial" w:hAnsi="Arial" w:cs="Arial"/>
          <w:bCs/>
          <w:i/>
          <w:sz w:val="16"/>
          <w:szCs w:val="16"/>
          <w:lang w:val="el-GR"/>
        </w:rPr>
        <w:t>1</w:t>
      </w:r>
      <w:r w:rsidRPr="001C7418">
        <w:rPr>
          <w:rFonts w:ascii="Arial" w:eastAsia="Arial" w:hAnsi="Arial" w:cs="Arial"/>
          <w:bCs/>
          <w:i/>
          <w:sz w:val="16"/>
          <w:szCs w:val="16"/>
          <w:lang w:val="el-GR"/>
        </w:rPr>
        <w:t xml:space="preserve"> δις και τα Ίδια Κεφάλαια του σε €2.</w:t>
      </w:r>
      <w:r>
        <w:rPr>
          <w:rFonts w:ascii="Arial" w:eastAsia="Arial" w:hAnsi="Arial" w:cs="Arial"/>
          <w:bCs/>
          <w:i/>
          <w:sz w:val="16"/>
          <w:szCs w:val="16"/>
          <w:lang w:val="el-GR"/>
        </w:rPr>
        <w:t>8</w:t>
      </w:r>
      <w:r w:rsidRPr="001C7418">
        <w:rPr>
          <w:rFonts w:ascii="Arial" w:eastAsia="Arial" w:hAnsi="Arial" w:cs="Arial"/>
          <w:bCs/>
          <w:i/>
          <w:sz w:val="16"/>
          <w:szCs w:val="16"/>
          <w:lang w:val="el-GR"/>
        </w:rPr>
        <w:t xml:space="preserve"> δις. Το Συγκρότημα Τράπεζας Κύπρου αποτελείται από την </w:t>
      </w:r>
      <w:r w:rsidRPr="001C7418">
        <w:rPr>
          <w:rFonts w:ascii="Arial" w:eastAsia="Arial" w:hAnsi="Arial" w:cs="Arial"/>
          <w:bCs/>
          <w:i/>
          <w:sz w:val="16"/>
          <w:szCs w:val="16"/>
          <w:lang w:val="en-US"/>
        </w:rPr>
        <w:t>Bank</w:t>
      </w:r>
      <w:r w:rsidRPr="001C7418">
        <w:rPr>
          <w:rFonts w:ascii="Arial" w:eastAsia="Arial" w:hAnsi="Arial" w:cs="Arial"/>
          <w:bCs/>
          <w:i/>
          <w:sz w:val="16"/>
          <w:szCs w:val="16"/>
          <w:lang w:val="el-GR"/>
        </w:rPr>
        <w:t xml:space="preserve"> </w:t>
      </w:r>
      <w:r w:rsidRPr="001C7418">
        <w:rPr>
          <w:rFonts w:ascii="Arial" w:eastAsia="Arial" w:hAnsi="Arial" w:cs="Arial"/>
          <w:bCs/>
          <w:i/>
          <w:sz w:val="16"/>
          <w:szCs w:val="16"/>
          <w:lang w:val="en-US"/>
        </w:rPr>
        <w:t>of</w:t>
      </w:r>
      <w:r w:rsidRPr="001C7418">
        <w:rPr>
          <w:rFonts w:ascii="Arial" w:eastAsia="Arial" w:hAnsi="Arial" w:cs="Arial"/>
          <w:bCs/>
          <w:i/>
          <w:sz w:val="16"/>
          <w:szCs w:val="16"/>
          <w:lang w:val="el-GR"/>
        </w:rPr>
        <w:t xml:space="preserve"> </w:t>
      </w:r>
      <w:r w:rsidRPr="001C7418">
        <w:rPr>
          <w:rFonts w:ascii="Arial" w:eastAsia="Arial" w:hAnsi="Arial" w:cs="Arial"/>
          <w:bCs/>
          <w:i/>
          <w:sz w:val="16"/>
          <w:szCs w:val="16"/>
          <w:lang w:val="en-US"/>
        </w:rPr>
        <w:t>Cyprus</w:t>
      </w:r>
      <w:r w:rsidRPr="001C7418">
        <w:rPr>
          <w:rFonts w:ascii="Arial" w:eastAsia="Arial" w:hAnsi="Arial" w:cs="Arial"/>
          <w:bCs/>
          <w:i/>
          <w:sz w:val="16"/>
          <w:szCs w:val="16"/>
          <w:lang w:val="el-GR"/>
        </w:rPr>
        <w:t xml:space="preserve"> </w:t>
      </w:r>
      <w:r w:rsidRPr="001C7418">
        <w:rPr>
          <w:rFonts w:ascii="Arial" w:eastAsia="Arial" w:hAnsi="Arial" w:cs="Arial"/>
          <w:bCs/>
          <w:i/>
          <w:sz w:val="16"/>
          <w:szCs w:val="16"/>
          <w:lang w:val="en-US"/>
        </w:rPr>
        <w:t>Holdings</w:t>
      </w:r>
      <w:r w:rsidRPr="001C7418">
        <w:rPr>
          <w:rFonts w:ascii="Arial" w:eastAsia="Arial" w:hAnsi="Arial" w:cs="Arial"/>
          <w:bCs/>
          <w:i/>
          <w:sz w:val="16"/>
          <w:szCs w:val="16"/>
          <w:lang w:val="el-GR"/>
        </w:rPr>
        <w:t xml:space="preserve"> </w:t>
      </w:r>
      <w:r w:rsidRPr="001C7418">
        <w:rPr>
          <w:rFonts w:ascii="Arial" w:eastAsia="Arial" w:hAnsi="Arial" w:cs="Arial"/>
          <w:bCs/>
          <w:i/>
          <w:sz w:val="16"/>
          <w:szCs w:val="16"/>
          <w:lang w:val="en-US"/>
        </w:rPr>
        <w:t>Public</w:t>
      </w:r>
      <w:r w:rsidRPr="001C7418">
        <w:rPr>
          <w:rFonts w:ascii="Arial" w:eastAsia="Arial" w:hAnsi="Arial" w:cs="Arial"/>
          <w:bCs/>
          <w:i/>
          <w:sz w:val="16"/>
          <w:szCs w:val="16"/>
          <w:lang w:val="el-GR"/>
        </w:rPr>
        <w:t xml:space="preserve"> </w:t>
      </w:r>
      <w:r w:rsidRPr="001C7418">
        <w:rPr>
          <w:rFonts w:ascii="Arial" w:eastAsia="Arial" w:hAnsi="Arial" w:cs="Arial"/>
          <w:bCs/>
          <w:i/>
          <w:sz w:val="16"/>
          <w:szCs w:val="16"/>
          <w:lang w:val="en-US"/>
        </w:rPr>
        <w:t>Limited</w:t>
      </w:r>
      <w:r w:rsidRPr="001C7418">
        <w:rPr>
          <w:rFonts w:ascii="Arial" w:eastAsia="Arial" w:hAnsi="Arial" w:cs="Arial"/>
          <w:bCs/>
          <w:i/>
          <w:sz w:val="16"/>
          <w:szCs w:val="16"/>
          <w:lang w:val="el-GR"/>
        </w:rPr>
        <w:t xml:space="preserve"> </w:t>
      </w:r>
      <w:r w:rsidRPr="001C7418">
        <w:rPr>
          <w:rFonts w:ascii="Arial" w:eastAsia="Arial" w:hAnsi="Arial" w:cs="Arial"/>
          <w:bCs/>
          <w:i/>
          <w:sz w:val="16"/>
          <w:szCs w:val="16"/>
          <w:lang w:val="en-US"/>
        </w:rPr>
        <w:t>Company</w:t>
      </w:r>
      <w:r w:rsidRPr="001C7418">
        <w:rPr>
          <w:rFonts w:ascii="Arial" w:eastAsia="Arial" w:hAnsi="Arial" w:cs="Arial"/>
          <w:bCs/>
          <w:i/>
          <w:sz w:val="16"/>
          <w:szCs w:val="16"/>
          <w:lang w:val="el-GR"/>
        </w:rPr>
        <w:t>, τη θυγατρική της Τράπεζα Κύπρου Δημόσια Εταιρία Λίμιτεδ και τις θυγατρικές αυτής.</w:t>
      </w:r>
    </w:p>
    <w:p w14:paraId="761E6C85" w14:textId="3EDFC4C7" w:rsidR="00D152CE" w:rsidRPr="00D152CE" w:rsidRDefault="00D152CE" w:rsidP="00D152CE">
      <w:pPr>
        <w:spacing w:line="240" w:lineRule="auto"/>
        <w:jc w:val="both"/>
        <w:rPr>
          <w:rFonts w:ascii="Arial" w:eastAsia="Arial" w:hAnsi="Arial" w:cs="Arial"/>
          <w:bCs/>
          <w:i/>
          <w:sz w:val="16"/>
          <w:szCs w:val="16"/>
          <w:lang w:val="el-GR"/>
        </w:rPr>
      </w:pPr>
      <w:r w:rsidRPr="00AB3C91">
        <w:rPr>
          <w:rFonts w:ascii="Arial" w:hAnsi="Arial" w:cs="Arial"/>
          <w:lang w:val="el-GR"/>
        </w:rPr>
        <w:lastRenderedPageBreak/>
        <w:t xml:space="preserve">Η </w:t>
      </w:r>
      <w:r w:rsidRPr="00AB3C91">
        <w:rPr>
          <w:rFonts w:ascii="Arial" w:hAnsi="Arial" w:cs="Arial"/>
        </w:rPr>
        <w:t>Bank</w:t>
      </w:r>
      <w:r w:rsidRPr="00AB3C91">
        <w:rPr>
          <w:rFonts w:ascii="Arial" w:hAnsi="Arial" w:cs="Arial"/>
          <w:lang w:val="el-GR"/>
        </w:rPr>
        <w:t xml:space="preserve"> </w:t>
      </w:r>
      <w:r w:rsidRPr="00AB3C91">
        <w:rPr>
          <w:rFonts w:ascii="Arial" w:hAnsi="Arial" w:cs="Arial"/>
        </w:rPr>
        <w:t>of</w:t>
      </w:r>
      <w:r w:rsidRPr="00AB3C91">
        <w:rPr>
          <w:rFonts w:ascii="Arial" w:hAnsi="Arial" w:cs="Arial"/>
          <w:lang w:val="el-GR"/>
        </w:rPr>
        <w:t xml:space="preserve"> </w:t>
      </w:r>
      <w:r w:rsidRPr="00AB3C91">
        <w:rPr>
          <w:rFonts w:ascii="Arial" w:hAnsi="Arial" w:cs="Arial"/>
        </w:rPr>
        <w:t>Cyprus</w:t>
      </w:r>
      <w:r w:rsidRPr="00AB3C91">
        <w:rPr>
          <w:rFonts w:ascii="Arial" w:hAnsi="Arial" w:cs="Arial"/>
          <w:lang w:val="el-GR"/>
        </w:rPr>
        <w:t xml:space="preserve"> </w:t>
      </w:r>
      <w:r w:rsidRPr="00AB3C91">
        <w:rPr>
          <w:rFonts w:ascii="Arial" w:hAnsi="Arial" w:cs="Arial"/>
        </w:rPr>
        <w:t>Holdings</w:t>
      </w:r>
      <w:r w:rsidRPr="00AB3C91">
        <w:rPr>
          <w:rFonts w:ascii="Arial" w:hAnsi="Arial" w:cs="Arial"/>
          <w:lang w:val="el-GR"/>
        </w:rPr>
        <w:t xml:space="preserve"> </w:t>
      </w:r>
      <w:r w:rsidRPr="00AB3C91">
        <w:rPr>
          <w:rFonts w:ascii="Arial" w:hAnsi="Arial" w:cs="Arial"/>
        </w:rPr>
        <w:t>Public</w:t>
      </w:r>
      <w:r w:rsidRPr="00AB3C91">
        <w:rPr>
          <w:rFonts w:ascii="Arial" w:hAnsi="Arial" w:cs="Arial"/>
          <w:lang w:val="el-GR"/>
        </w:rPr>
        <w:t xml:space="preserve"> </w:t>
      </w:r>
      <w:r w:rsidRPr="00AB3C91">
        <w:rPr>
          <w:rFonts w:ascii="Arial" w:hAnsi="Arial" w:cs="Arial"/>
        </w:rPr>
        <w:t>Limited</w:t>
      </w:r>
      <w:r w:rsidRPr="00AB3C91">
        <w:rPr>
          <w:rFonts w:ascii="Arial" w:hAnsi="Arial" w:cs="Arial"/>
          <w:lang w:val="el-GR"/>
        </w:rPr>
        <w:t xml:space="preserve"> </w:t>
      </w:r>
      <w:r w:rsidRPr="00AB3C91">
        <w:rPr>
          <w:rFonts w:ascii="Arial" w:hAnsi="Arial" w:cs="Arial"/>
        </w:rPr>
        <w:t>Company</w:t>
      </w:r>
      <w:r w:rsidRPr="00AB3C91">
        <w:rPr>
          <w:rFonts w:ascii="Arial" w:hAnsi="Arial" w:cs="Arial"/>
          <w:lang w:val="el-GR"/>
        </w:rPr>
        <w:t xml:space="preserve"> (η ‘</w:t>
      </w:r>
      <w:r w:rsidRPr="000F187C">
        <w:rPr>
          <w:rFonts w:ascii="Arial" w:hAnsi="Arial" w:cs="Arial"/>
          <w:b/>
          <w:bCs/>
        </w:rPr>
        <w:t>BOC</w:t>
      </w:r>
      <w:r w:rsidRPr="000F187C">
        <w:rPr>
          <w:rFonts w:ascii="Arial" w:hAnsi="Arial" w:cs="Arial"/>
          <w:b/>
          <w:bCs/>
          <w:lang w:val="el-GR"/>
        </w:rPr>
        <w:t xml:space="preserve"> </w:t>
      </w:r>
      <w:r w:rsidRPr="000F187C">
        <w:rPr>
          <w:rFonts w:ascii="Arial" w:hAnsi="Arial" w:cs="Arial"/>
          <w:b/>
          <w:bCs/>
        </w:rPr>
        <w:t>Holdings</w:t>
      </w:r>
      <w:r w:rsidRPr="00AB3C91">
        <w:rPr>
          <w:rFonts w:ascii="Arial" w:hAnsi="Arial" w:cs="Arial"/>
          <w:lang w:val="el-GR"/>
        </w:rPr>
        <w:t xml:space="preserve">’ ή η </w:t>
      </w:r>
      <w:r w:rsidRPr="000F187C">
        <w:rPr>
          <w:rFonts w:ascii="Arial" w:hAnsi="Arial" w:cs="Arial"/>
          <w:b/>
          <w:bCs/>
          <w:lang w:val="el-GR"/>
        </w:rPr>
        <w:t>‘Εταιρία’</w:t>
      </w:r>
      <w:r w:rsidRPr="00AB3C91">
        <w:rPr>
          <w:rFonts w:ascii="Arial" w:hAnsi="Arial" w:cs="Arial"/>
          <w:lang w:val="el-GR"/>
        </w:rPr>
        <w:t xml:space="preserve"> και, μαζί με τις θυγατρικές της, το </w:t>
      </w:r>
      <w:r w:rsidRPr="000F187C">
        <w:rPr>
          <w:rFonts w:ascii="Arial" w:hAnsi="Arial" w:cs="Arial"/>
          <w:b/>
          <w:bCs/>
          <w:lang w:val="el-GR"/>
        </w:rPr>
        <w:t>‘Συγκρότημα’</w:t>
      </w:r>
      <w:r w:rsidRPr="00AB3C91">
        <w:rPr>
          <w:rFonts w:ascii="Arial" w:hAnsi="Arial" w:cs="Arial"/>
          <w:lang w:val="el-GR"/>
        </w:rPr>
        <w:t xml:space="preserve">) ανακοινώνει </w:t>
      </w:r>
      <w:r>
        <w:rPr>
          <w:rFonts w:ascii="Arial" w:hAnsi="Arial" w:cs="Arial"/>
          <w:lang w:val="el-GR"/>
        </w:rPr>
        <w:t>σήμερα</w:t>
      </w:r>
      <w:r w:rsidRPr="00AB3C91">
        <w:rPr>
          <w:rFonts w:ascii="Arial" w:hAnsi="Arial" w:cs="Arial"/>
          <w:lang w:val="el-GR"/>
        </w:rPr>
        <w:t xml:space="preserve"> </w:t>
      </w:r>
      <w:r>
        <w:rPr>
          <w:rFonts w:ascii="Arial" w:hAnsi="Arial" w:cs="Arial"/>
          <w:lang w:val="el-GR"/>
        </w:rPr>
        <w:t>την καταβολή ενδιάμεσου μερίσματος ύψους €0.20 ανά συνήθη μετοχή, αντιστοιχώντας σε περίπου €87 εκατ.</w:t>
      </w:r>
      <w:r w:rsidRPr="00FA15A6">
        <w:rPr>
          <w:rFonts w:ascii="Arial" w:hAnsi="Arial" w:cs="Arial"/>
          <w:vertAlign w:val="superscript"/>
          <w:lang w:val="el-GR"/>
        </w:rPr>
        <w:t>1</w:t>
      </w:r>
      <w:r>
        <w:rPr>
          <w:rFonts w:ascii="Arial" w:hAnsi="Arial" w:cs="Arial"/>
          <w:lang w:val="el-GR"/>
        </w:rPr>
        <w:t xml:space="preserve"> (το </w:t>
      </w:r>
      <w:r w:rsidRPr="000F187C">
        <w:rPr>
          <w:rFonts w:ascii="Arial" w:hAnsi="Arial" w:cs="Arial"/>
          <w:b/>
          <w:bCs/>
          <w:lang w:val="el-GR"/>
        </w:rPr>
        <w:t>‘Ενδιάμεσο Μέρισμα’</w:t>
      </w:r>
      <w:r>
        <w:rPr>
          <w:rFonts w:ascii="Arial" w:hAnsi="Arial" w:cs="Arial"/>
          <w:lang w:val="el-GR"/>
        </w:rPr>
        <w:t xml:space="preserve">). Αυτό αντιπροσωπεύει ποσοστό διανομής ύψους περίπου 40% </w:t>
      </w:r>
      <w:r w:rsidRPr="00FA15A6">
        <w:rPr>
          <w:rFonts w:ascii="Arial" w:hAnsi="Arial" w:cs="Arial"/>
          <w:lang w:val="el-GR"/>
        </w:rPr>
        <w:t xml:space="preserve">της προσαρμοσμένης κερδοφορίας του Συγκροτήματος πριν των μη επαναλαμβανόμενων στοιχείων για το </w:t>
      </w:r>
      <w:r>
        <w:rPr>
          <w:rFonts w:ascii="Arial" w:hAnsi="Arial" w:cs="Arial"/>
          <w:lang w:val="el-GR"/>
        </w:rPr>
        <w:t xml:space="preserve">εξάμηνο που έληξε στις 30 Ιουνίου 2025. Το Ενδιάμεσο Μέρισμα </w:t>
      </w:r>
      <w:r w:rsidRPr="00F40065">
        <w:rPr>
          <w:rFonts w:ascii="Arial" w:hAnsi="Arial" w:cs="Arial"/>
          <w:lang w:val="el-GR"/>
        </w:rPr>
        <w:t>αντανακλά την</w:t>
      </w:r>
      <w:r>
        <w:rPr>
          <w:rFonts w:ascii="Arial" w:hAnsi="Arial" w:cs="Arial"/>
          <w:lang w:val="el-GR"/>
        </w:rPr>
        <w:t xml:space="preserve"> </w:t>
      </w:r>
      <w:r w:rsidRPr="00F40065">
        <w:rPr>
          <w:rFonts w:ascii="Arial" w:hAnsi="Arial" w:cs="Arial"/>
          <w:lang w:val="el-GR"/>
        </w:rPr>
        <w:t>επιτυχή πραγματοποίηση</w:t>
      </w:r>
      <w:r>
        <w:rPr>
          <w:rFonts w:ascii="Arial" w:hAnsi="Arial" w:cs="Arial"/>
          <w:lang w:val="el-GR"/>
        </w:rPr>
        <w:t xml:space="preserve"> της</w:t>
      </w:r>
      <w:r w:rsidRPr="00665E98">
        <w:rPr>
          <w:rFonts w:ascii="Arial" w:hAnsi="Arial" w:cs="Arial"/>
          <w:lang w:val="el-GR"/>
        </w:rPr>
        <w:t xml:space="preserve"> </w:t>
      </w:r>
      <w:r>
        <w:rPr>
          <w:rFonts w:ascii="Arial" w:hAnsi="Arial" w:cs="Arial"/>
          <w:lang w:val="el-GR"/>
        </w:rPr>
        <w:t xml:space="preserve">συνεχιζόμενης δέσμευσης του Συγκροτήματος για </w:t>
      </w:r>
      <w:r w:rsidRPr="00F40065">
        <w:rPr>
          <w:rFonts w:ascii="Arial" w:hAnsi="Arial" w:cs="Arial"/>
          <w:lang w:val="el-GR"/>
        </w:rPr>
        <w:t>παροχή σταθερών αποδόσεων στους μετόχους</w:t>
      </w:r>
      <w:r>
        <w:rPr>
          <w:rFonts w:ascii="Arial" w:hAnsi="Arial" w:cs="Arial"/>
          <w:lang w:val="el-GR"/>
        </w:rPr>
        <w:t xml:space="preserve">, υποστηριζόμενη από την ισχυρή </w:t>
      </w:r>
      <w:r w:rsidRPr="00F40065">
        <w:rPr>
          <w:rFonts w:ascii="Arial" w:hAnsi="Arial" w:cs="Arial"/>
          <w:lang w:val="el-GR"/>
        </w:rPr>
        <w:t xml:space="preserve">οικονομική </w:t>
      </w:r>
      <w:r>
        <w:rPr>
          <w:rFonts w:ascii="Arial" w:hAnsi="Arial" w:cs="Arial"/>
          <w:lang w:val="el-GR"/>
        </w:rPr>
        <w:t xml:space="preserve">του </w:t>
      </w:r>
      <w:r w:rsidRPr="00AC3D3E">
        <w:rPr>
          <w:rFonts w:ascii="Arial" w:hAnsi="Arial" w:cs="Arial"/>
          <w:lang w:val="el-GR"/>
        </w:rPr>
        <w:t xml:space="preserve">επίδοση. </w:t>
      </w:r>
    </w:p>
    <w:p w14:paraId="218E3C1E" w14:textId="77777777" w:rsidR="00D152CE" w:rsidRPr="00D152CE" w:rsidRDefault="00D152CE" w:rsidP="00D152CE">
      <w:pPr>
        <w:widowControl w:val="0"/>
        <w:autoSpaceDE w:val="0"/>
        <w:autoSpaceDN w:val="0"/>
        <w:adjustRightInd w:val="0"/>
        <w:spacing w:after="0" w:line="240" w:lineRule="auto"/>
        <w:jc w:val="both"/>
        <w:rPr>
          <w:rFonts w:ascii="Arial" w:hAnsi="Arial" w:cs="Arial"/>
          <w:lang w:val="el-GR"/>
        </w:rPr>
      </w:pPr>
      <w:r w:rsidRPr="00AC3D3E">
        <w:rPr>
          <w:rFonts w:ascii="Arial" w:hAnsi="Arial" w:cs="Arial"/>
          <w:lang w:val="el-GR"/>
        </w:rPr>
        <w:t>Για το 2025, το Συγκρότημα στοχεύει σε ποσοστό διανομής</w:t>
      </w:r>
      <w:r w:rsidRPr="00AC3D3E">
        <w:rPr>
          <w:rFonts w:ascii="Arial" w:hAnsi="Arial" w:cs="Arial"/>
          <w:vertAlign w:val="superscript"/>
          <w:lang w:val="el-GR"/>
        </w:rPr>
        <w:t>2</w:t>
      </w:r>
      <w:r w:rsidRPr="00AC3D3E">
        <w:rPr>
          <w:rFonts w:ascii="Arial" w:hAnsi="Arial" w:cs="Arial"/>
          <w:lang w:val="el-GR"/>
        </w:rPr>
        <w:t xml:space="preserve"> ύψους 70%, στο υψηλότερο ποσοστό (‘</w:t>
      </w:r>
      <w:r w:rsidRPr="00AC3D3E">
        <w:rPr>
          <w:rFonts w:ascii="Arial" w:hAnsi="Arial" w:cs="Arial"/>
          <w:lang w:val="en-US"/>
        </w:rPr>
        <w:t>payout</w:t>
      </w:r>
      <w:r w:rsidRPr="00AC3D3E">
        <w:rPr>
          <w:rFonts w:ascii="Arial" w:hAnsi="Arial" w:cs="Arial"/>
          <w:lang w:val="el-GR"/>
        </w:rPr>
        <w:t xml:space="preserve"> </w:t>
      </w:r>
      <w:r w:rsidRPr="00AC3D3E">
        <w:rPr>
          <w:rFonts w:ascii="Arial" w:hAnsi="Arial" w:cs="Arial"/>
          <w:lang w:val="en-US"/>
        </w:rPr>
        <w:t>ratio</w:t>
      </w:r>
      <w:r w:rsidRPr="00AC3D3E">
        <w:rPr>
          <w:rFonts w:ascii="Arial" w:hAnsi="Arial" w:cs="Arial"/>
          <w:lang w:val="el-GR"/>
        </w:rPr>
        <w:t>’) της πολιτικής διανομής του (50-70%), συμβάλλοντας περαιτέρω στη συνεχή δημιουργία ισχυρών αποδόσεων για τους μετόχους, λαμβάνοντας υπόψη τις συνθήκες της αγοράς.</w:t>
      </w:r>
      <w:r>
        <w:rPr>
          <w:rFonts w:ascii="Arial" w:hAnsi="Arial" w:cs="Arial"/>
          <w:lang w:val="el-GR"/>
        </w:rPr>
        <w:t xml:space="preserve"> </w:t>
      </w:r>
    </w:p>
    <w:p w14:paraId="68A50723" w14:textId="77777777" w:rsidR="00D152CE" w:rsidRPr="00D152CE" w:rsidRDefault="00D152CE" w:rsidP="00D152CE">
      <w:pPr>
        <w:widowControl w:val="0"/>
        <w:autoSpaceDE w:val="0"/>
        <w:autoSpaceDN w:val="0"/>
        <w:adjustRightInd w:val="0"/>
        <w:spacing w:after="0" w:line="240" w:lineRule="auto"/>
        <w:jc w:val="both"/>
        <w:rPr>
          <w:rFonts w:ascii="Arial" w:hAnsi="Arial" w:cs="Arial"/>
          <w:lang w:val="el-GR"/>
        </w:rPr>
      </w:pPr>
    </w:p>
    <w:p w14:paraId="1E0FCB6B" w14:textId="77777777" w:rsidR="00D152CE" w:rsidRPr="00D152CE" w:rsidRDefault="00D152CE" w:rsidP="00D152CE">
      <w:pPr>
        <w:widowControl w:val="0"/>
        <w:autoSpaceDE w:val="0"/>
        <w:autoSpaceDN w:val="0"/>
        <w:adjustRightInd w:val="0"/>
        <w:spacing w:after="0" w:line="240" w:lineRule="auto"/>
        <w:jc w:val="both"/>
        <w:rPr>
          <w:rFonts w:ascii="Arial" w:hAnsi="Arial" w:cs="Arial"/>
          <w:lang w:val="el-GR"/>
        </w:rPr>
      </w:pPr>
      <w:r w:rsidRPr="00AC3D3E">
        <w:rPr>
          <w:rFonts w:ascii="Arial" w:hAnsi="Arial" w:cs="Arial"/>
          <w:lang w:val="el-GR"/>
        </w:rPr>
        <w:t>Η απόφαση για</w:t>
      </w:r>
      <w:r>
        <w:rPr>
          <w:rFonts w:ascii="Arial" w:hAnsi="Arial" w:cs="Arial"/>
          <w:lang w:val="el-GR"/>
        </w:rPr>
        <w:t xml:space="preserve"> οποιοδήποτε μελλοντικό ποσό διανομής</w:t>
      </w:r>
      <w:r w:rsidRPr="00AC3D3E">
        <w:rPr>
          <w:rFonts w:ascii="Arial" w:hAnsi="Arial" w:cs="Arial"/>
          <w:lang w:val="el-GR"/>
        </w:rPr>
        <w:t>, συμπεριλαμβανομένου οποιουδήποτε προτεινόμενου ποσού διανομής, καθώς και της προβλεπόμενης κατανομής μεταξύ μερίσματος σε μετρητά και επαναγοράς ιδίων μετοχών, θα λαμβάνει υπόψη τις συνθήκες της αγοράς όπως επίσης και τα αποτελέσματα της τρέχουσας στρατηγικής σχεδιασμού κεφαλαίου και ρευστότητας του Συγκροτήματος κατά τη δεδομένη χρονική στιγμή.</w:t>
      </w:r>
    </w:p>
    <w:p w14:paraId="5EFB8B74" w14:textId="77777777" w:rsidR="00D152CE" w:rsidRPr="00D152CE" w:rsidRDefault="00D152CE" w:rsidP="00D152CE">
      <w:pPr>
        <w:widowControl w:val="0"/>
        <w:autoSpaceDE w:val="0"/>
        <w:autoSpaceDN w:val="0"/>
        <w:adjustRightInd w:val="0"/>
        <w:spacing w:after="0" w:line="240" w:lineRule="auto"/>
        <w:jc w:val="both"/>
        <w:rPr>
          <w:rFonts w:ascii="Arial" w:hAnsi="Arial" w:cs="Arial"/>
          <w:lang w:val="el-GR"/>
        </w:rPr>
      </w:pPr>
    </w:p>
    <w:p w14:paraId="7321DB32" w14:textId="77777777" w:rsidR="00D152CE" w:rsidRPr="000D6A2F" w:rsidRDefault="00D152CE" w:rsidP="00D152CE">
      <w:pPr>
        <w:widowControl w:val="0"/>
        <w:autoSpaceDE w:val="0"/>
        <w:autoSpaceDN w:val="0"/>
        <w:adjustRightInd w:val="0"/>
        <w:spacing w:after="0" w:line="240" w:lineRule="auto"/>
        <w:jc w:val="both"/>
        <w:rPr>
          <w:rFonts w:ascii="Arial" w:hAnsi="Arial" w:cs="Arial"/>
          <w:b/>
          <w:bCs/>
          <w:lang w:val="el-GR"/>
        </w:rPr>
      </w:pPr>
      <w:r w:rsidRPr="000D6A2F">
        <w:rPr>
          <w:rFonts w:ascii="Arial" w:hAnsi="Arial" w:cs="Arial"/>
          <w:b/>
          <w:bCs/>
          <w:lang w:val="el-GR"/>
        </w:rPr>
        <w:t>Καταβολή Ενδιάμεσου Μερίσματος:</w:t>
      </w:r>
    </w:p>
    <w:p w14:paraId="74E3093E" w14:textId="77777777" w:rsidR="00D152CE" w:rsidRDefault="00D152CE" w:rsidP="00D152CE">
      <w:pPr>
        <w:widowControl w:val="0"/>
        <w:autoSpaceDE w:val="0"/>
        <w:autoSpaceDN w:val="0"/>
        <w:adjustRightInd w:val="0"/>
        <w:spacing w:after="0" w:line="240" w:lineRule="auto"/>
        <w:jc w:val="both"/>
        <w:rPr>
          <w:rFonts w:ascii="Arial" w:hAnsi="Arial" w:cs="Arial"/>
          <w:lang w:val="el-GR"/>
        </w:rPr>
      </w:pPr>
    </w:p>
    <w:p w14:paraId="44E687EF" w14:textId="77777777" w:rsidR="00D152CE" w:rsidRPr="00BE4A3B" w:rsidRDefault="00D152CE" w:rsidP="00D152CE">
      <w:pPr>
        <w:widowControl w:val="0"/>
        <w:autoSpaceDE w:val="0"/>
        <w:autoSpaceDN w:val="0"/>
        <w:adjustRightInd w:val="0"/>
        <w:spacing w:after="0" w:line="240" w:lineRule="auto"/>
        <w:jc w:val="both"/>
        <w:rPr>
          <w:rFonts w:ascii="Arial" w:hAnsi="Arial" w:cs="Arial"/>
          <w:lang w:val="el-GR"/>
        </w:rPr>
      </w:pPr>
      <w:r w:rsidRPr="00006CB2">
        <w:rPr>
          <w:rFonts w:ascii="Arial" w:hAnsi="Arial" w:cs="Arial"/>
          <w:lang w:val="el-GR"/>
        </w:rPr>
        <w:t xml:space="preserve">Το </w:t>
      </w:r>
      <w:r>
        <w:rPr>
          <w:rFonts w:ascii="Arial" w:hAnsi="Arial" w:cs="Arial"/>
          <w:lang w:val="el-GR"/>
        </w:rPr>
        <w:t>Ενδιάμεσο Μ</w:t>
      </w:r>
      <w:r w:rsidRPr="00006CB2">
        <w:rPr>
          <w:rFonts w:ascii="Arial" w:hAnsi="Arial" w:cs="Arial"/>
          <w:lang w:val="el-GR"/>
        </w:rPr>
        <w:t>έρισμα</w:t>
      </w:r>
      <w:r>
        <w:rPr>
          <w:rFonts w:ascii="Arial" w:hAnsi="Arial" w:cs="Arial"/>
          <w:lang w:val="el-GR"/>
        </w:rPr>
        <w:t xml:space="preserve"> </w:t>
      </w:r>
      <w:r w:rsidRPr="00006CB2">
        <w:rPr>
          <w:rFonts w:ascii="Arial" w:hAnsi="Arial" w:cs="Arial"/>
          <w:lang w:val="el-GR"/>
        </w:rPr>
        <w:t xml:space="preserve">θα </w:t>
      </w:r>
      <w:r>
        <w:rPr>
          <w:rFonts w:ascii="Arial" w:hAnsi="Arial" w:cs="Arial"/>
          <w:lang w:val="el-GR"/>
        </w:rPr>
        <w:t>καταβληθεί</w:t>
      </w:r>
      <w:r w:rsidRPr="00006CB2">
        <w:rPr>
          <w:rFonts w:ascii="Arial" w:hAnsi="Arial" w:cs="Arial"/>
          <w:lang w:val="el-GR"/>
        </w:rPr>
        <w:t xml:space="preserve"> σε μετρητά στις </w:t>
      </w:r>
      <w:r w:rsidRPr="000F187C">
        <w:rPr>
          <w:rFonts w:ascii="Arial" w:hAnsi="Arial" w:cs="Arial"/>
          <w:b/>
          <w:bCs/>
          <w:lang w:val="el-GR"/>
        </w:rPr>
        <w:t>20 Οκτωβρίου 2025</w:t>
      </w:r>
      <w:r w:rsidRPr="00006CB2">
        <w:rPr>
          <w:rFonts w:ascii="Arial" w:hAnsi="Arial" w:cs="Arial"/>
          <w:lang w:val="el-GR"/>
        </w:rPr>
        <w:t xml:space="preserve"> στους μετόχους που είναι εγγεγραμμένοι στο μητρώο μετόχων </w:t>
      </w:r>
      <w:r>
        <w:rPr>
          <w:rFonts w:ascii="Arial" w:hAnsi="Arial" w:cs="Arial"/>
          <w:lang w:val="el-GR"/>
        </w:rPr>
        <w:t xml:space="preserve">της Εταιρίας </w:t>
      </w:r>
      <w:r w:rsidRPr="00006CB2">
        <w:rPr>
          <w:rFonts w:ascii="Arial" w:hAnsi="Arial" w:cs="Arial"/>
          <w:lang w:val="el-GR"/>
        </w:rPr>
        <w:t xml:space="preserve">κατά τις </w:t>
      </w:r>
      <w:r w:rsidRPr="000F187C">
        <w:rPr>
          <w:rFonts w:ascii="Arial" w:hAnsi="Arial" w:cs="Arial"/>
          <w:b/>
          <w:bCs/>
          <w:lang w:val="el-GR"/>
        </w:rPr>
        <w:t>23 Σεπτεμβρίου 2025</w:t>
      </w:r>
      <w:r w:rsidRPr="00006CB2">
        <w:rPr>
          <w:rFonts w:ascii="Arial" w:hAnsi="Arial" w:cs="Arial"/>
          <w:lang w:val="el-GR"/>
        </w:rPr>
        <w:t xml:space="preserve"> (‘Ημερομηνία Αρχείου’</w:t>
      </w:r>
      <w:r w:rsidRPr="009B21DE">
        <w:rPr>
          <w:rFonts w:ascii="Arial" w:hAnsi="Arial" w:cs="Arial"/>
          <w:vertAlign w:val="superscript"/>
          <w:lang w:val="el-GR"/>
        </w:rPr>
        <w:t>3</w:t>
      </w:r>
      <w:r w:rsidRPr="00006CB2">
        <w:rPr>
          <w:rFonts w:ascii="Arial" w:hAnsi="Arial" w:cs="Arial"/>
          <w:lang w:val="el-GR"/>
        </w:rPr>
        <w:t>), ενώ ως Ημερομηνία Αποκοπής (‘</w:t>
      </w:r>
      <w:r w:rsidRPr="00006CB2">
        <w:rPr>
          <w:rFonts w:ascii="Arial" w:hAnsi="Arial" w:cs="Arial"/>
        </w:rPr>
        <w:t>Ex</w:t>
      </w:r>
      <w:r w:rsidRPr="00006CB2">
        <w:rPr>
          <w:rFonts w:ascii="Arial" w:hAnsi="Arial" w:cs="Arial"/>
          <w:lang w:val="el-GR"/>
        </w:rPr>
        <w:t>-</w:t>
      </w:r>
      <w:r w:rsidRPr="00006CB2">
        <w:rPr>
          <w:rFonts w:ascii="Arial" w:hAnsi="Arial" w:cs="Arial"/>
        </w:rPr>
        <w:t>Dividend</w:t>
      </w:r>
      <w:r w:rsidRPr="00006CB2">
        <w:rPr>
          <w:rFonts w:ascii="Arial" w:hAnsi="Arial" w:cs="Arial"/>
          <w:lang w:val="el-GR"/>
        </w:rPr>
        <w:t xml:space="preserve"> </w:t>
      </w:r>
      <w:r w:rsidRPr="00006CB2">
        <w:rPr>
          <w:rFonts w:ascii="Arial" w:hAnsi="Arial" w:cs="Arial"/>
        </w:rPr>
        <w:t>date</w:t>
      </w:r>
      <w:r w:rsidRPr="00006CB2">
        <w:rPr>
          <w:rFonts w:ascii="Arial" w:hAnsi="Arial" w:cs="Arial"/>
          <w:lang w:val="el-GR"/>
        </w:rPr>
        <w:t>’</w:t>
      </w:r>
      <w:r w:rsidRPr="009B21DE">
        <w:rPr>
          <w:rFonts w:ascii="Arial" w:hAnsi="Arial" w:cs="Arial"/>
          <w:vertAlign w:val="superscript"/>
          <w:lang w:val="el-GR"/>
        </w:rPr>
        <w:t>4</w:t>
      </w:r>
      <w:r w:rsidRPr="00006CB2">
        <w:rPr>
          <w:rFonts w:ascii="Arial" w:hAnsi="Arial" w:cs="Arial"/>
          <w:lang w:val="el-GR"/>
        </w:rPr>
        <w:t xml:space="preserve">) έχει ορισθεί η </w:t>
      </w:r>
      <w:r w:rsidRPr="000F187C">
        <w:rPr>
          <w:rFonts w:ascii="Arial" w:hAnsi="Arial" w:cs="Arial"/>
          <w:b/>
          <w:bCs/>
          <w:lang w:val="el-GR"/>
        </w:rPr>
        <w:t>22 Σεπτεμβρίου 2025</w:t>
      </w:r>
      <w:r w:rsidRPr="00006CB2">
        <w:rPr>
          <w:rFonts w:ascii="Arial" w:hAnsi="Arial" w:cs="Arial"/>
          <w:lang w:val="el-GR"/>
        </w:rPr>
        <w:t>.</w:t>
      </w:r>
    </w:p>
    <w:p w14:paraId="46A6552D" w14:textId="77777777" w:rsidR="00D152CE" w:rsidRDefault="00D152CE" w:rsidP="00BE4A3B">
      <w:pPr>
        <w:widowControl w:val="0"/>
        <w:autoSpaceDE w:val="0"/>
        <w:autoSpaceDN w:val="0"/>
        <w:adjustRightInd w:val="0"/>
        <w:spacing w:after="0" w:line="240" w:lineRule="auto"/>
        <w:jc w:val="both"/>
        <w:rPr>
          <w:rFonts w:ascii="Arial" w:hAnsi="Arial" w:cs="Arial"/>
          <w:lang w:val="el-GR"/>
        </w:rPr>
      </w:pPr>
    </w:p>
    <w:p w14:paraId="41371014" w14:textId="36458F69" w:rsidR="00BE4A3B" w:rsidRPr="00BE4A3B" w:rsidRDefault="00BE4A3B" w:rsidP="00BE4A3B">
      <w:pPr>
        <w:widowControl w:val="0"/>
        <w:autoSpaceDE w:val="0"/>
        <w:autoSpaceDN w:val="0"/>
        <w:adjustRightInd w:val="0"/>
        <w:spacing w:after="0" w:line="240" w:lineRule="auto"/>
        <w:jc w:val="both"/>
        <w:rPr>
          <w:rFonts w:ascii="Arial" w:hAnsi="Arial" w:cs="Arial"/>
          <w:lang w:val="el-GR"/>
        </w:rPr>
      </w:pPr>
      <w:r>
        <w:rPr>
          <w:rFonts w:ascii="Arial" w:hAnsi="Arial" w:cs="Arial"/>
          <w:lang w:val="el-GR"/>
        </w:rPr>
        <w:t xml:space="preserve">Οι μέτοχοι που επιθυμούν να </w:t>
      </w:r>
      <w:r w:rsidRPr="00BE4A3B">
        <w:rPr>
          <w:rFonts w:ascii="Arial" w:hAnsi="Arial" w:cs="Arial"/>
          <w:lang w:val="el-GR"/>
        </w:rPr>
        <w:t xml:space="preserve">συμμετάσχουν στο Ενδιάμεσο Μέρισμα θα πρέπει να διασφαλίσουν ότι κατέχουν </w:t>
      </w:r>
      <w:r>
        <w:rPr>
          <w:rFonts w:ascii="Arial" w:hAnsi="Arial" w:cs="Arial"/>
          <w:lang w:val="el-GR"/>
        </w:rPr>
        <w:t>συνήθεις</w:t>
      </w:r>
      <w:r w:rsidRPr="00BE4A3B">
        <w:rPr>
          <w:rFonts w:ascii="Arial" w:hAnsi="Arial" w:cs="Arial"/>
          <w:lang w:val="el-GR"/>
        </w:rPr>
        <w:t xml:space="preserve"> μετοχές κατά την Ημερομηνία </w:t>
      </w:r>
      <w:r>
        <w:rPr>
          <w:rFonts w:ascii="Arial" w:hAnsi="Arial" w:cs="Arial"/>
          <w:lang w:val="el-GR"/>
        </w:rPr>
        <w:t>Αρχείου</w:t>
      </w:r>
      <w:r w:rsidRPr="00BE4A3B">
        <w:rPr>
          <w:rFonts w:ascii="Arial" w:hAnsi="Arial" w:cs="Arial"/>
          <w:lang w:val="el-GR"/>
        </w:rPr>
        <w:t>.</w:t>
      </w:r>
      <w:r>
        <w:rPr>
          <w:rFonts w:ascii="Arial" w:hAnsi="Arial" w:cs="Arial"/>
          <w:lang w:val="el-GR"/>
        </w:rPr>
        <w:t xml:space="preserve"> </w:t>
      </w:r>
      <w:r w:rsidRPr="009B21DE">
        <w:rPr>
          <w:rFonts w:ascii="Arial" w:hAnsi="Arial" w:cs="Arial"/>
          <w:lang w:val="el-GR"/>
        </w:rPr>
        <w:t xml:space="preserve">Ο τρόπος με τον οποίο οι μέτοχοι θα λάβουν το </w:t>
      </w:r>
      <w:r>
        <w:rPr>
          <w:rFonts w:ascii="Arial" w:hAnsi="Arial" w:cs="Arial"/>
          <w:lang w:val="el-GR"/>
        </w:rPr>
        <w:t xml:space="preserve">Ενδιάμεσο </w:t>
      </w:r>
      <w:r w:rsidRPr="009B21DE">
        <w:rPr>
          <w:rFonts w:ascii="Arial" w:hAnsi="Arial" w:cs="Arial"/>
          <w:lang w:val="el-GR"/>
        </w:rPr>
        <w:t>Μέρισμά τους εξαρτάται από τον τρόπο με τον οποίο κατέχουν τις Συνήθεις Μετοχές τους, όπως περιγράφεται αναλυτικότερα παρακάτω.</w:t>
      </w:r>
    </w:p>
    <w:p w14:paraId="47196370" w14:textId="77777777" w:rsidR="00BE4A3B" w:rsidRDefault="00BE4A3B" w:rsidP="00AA7990">
      <w:pPr>
        <w:widowControl w:val="0"/>
        <w:autoSpaceDE w:val="0"/>
        <w:autoSpaceDN w:val="0"/>
        <w:adjustRightInd w:val="0"/>
        <w:spacing w:after="0" w:line="240" w:lineRule="auto"/>
        <w:jc w:val="both"/>
        <w:rPr>
          <w:rFonts w:ascii="Arial" w:hAnsi="Arial" w:cs="Arial"/>
          <w:lang w:val="el-GR"/>
        </w:rPr>
      </w:pPr>
    </w:p>
    <w:p w14:paraId="082ABAE3" w14:textId="77777777" w:rsidR="00FF0E70" w:rsidRPr="004C1C17" w:rsidRDefault="00BE4A3B" w:rsidP="00E42D30">
      <w:pPr>
        <w:numPr>
          <w:ilvl w:val="0"/>
          <w:numId w:val="26"/>
        </w:numPr>
        <w:tabs>
          <w:tab w:val="clear" w:pos="360"/>
        </w:tabs>
        <w:spacing w:before="14" w:after="448" w:line="275" w:lineRule="exact"/>
        <w:ind w:left="567" w:right="72" w:hanging="567"/>
        <w:jc w:val="both"/>
        <w:textAlignment w:val="baseline"/>
        <w:rPr>
          <w:rFonts w:ascii="Arial" w:eastAsia="Arial" w:hAnsi="Arial"/>
          <w:color w:val="000000"/>
          <w:lang w:val="el-GR"/>
        </w:rPr>
      </w:pPr>
      <w:r w:rsidRPr="004C1C17">
        <w:rPr>
          <w:rFonts w:ascii="Arial" w:eastAsia="Arial" w:hAnsi="Arial"/>
          <w:color w:val="000000"/>
          <w:lang w:val="el-GR"/>
        </w:rPr>
        <w:t>Για τα πρόσωπα που κατέχουν τα δικαιώματά τους επί των Συνήθων Μετοχών έμμεσα μέσω παραστατικών δικαιωμάτων στο Χρηματιστήριο Αξιών Κύπρου (το ‘</w:t>
      </w:r>
      <w:r w:rsidRPr="004C1C17">
        <w:rPr>
          <w:rFonts w:ascii="Arial" w:eastAsia="Arial" w:hAnsi="Arial"/>
          <w:b/>
          <w:bCs/>
          <w:color w:val="000000"/>
          <w:lang w:val="el-GR"/>
        </w:rPr>
        <w:t>ΧΑΚ</w:t>
      </w:r>
      <w:r w:rsidRPr="004C1C17">
        <w:rPr>
          <w:rFonts w:ascii="Arial" w:eastAsia="Arial" w:hAnsi="Arial"/>
          <w:color w:val="000000"/>
          <w:lang w:val="el-GR"/>
        </w:rPr>
        <w:t>’) (οι ‘</w:t>
      </w:r>
      <w:r w:rsidRPr="004C1C17">
        <w:rPr>
          <w:rFonts w:ascii="Arial" w:eastAsia="Arial" w:hAnsi="Arial"/>
          <w:b/>
          <w:bCs/>
          <w:color w:val="000000"/>
          <w:lang w:val="el-GR"/>
        </w:rPr>
        <w:t>Κάτοχοι ΠΔ</w:t>
      </w:r>
      <w:r w:rsidRPr="004C1C17">
        <w:rPr>
          <w:rFonts w:ascii="Arial" w:eastAsia="Arial" w:hAnsi="Arial"/>
          <w:color w:val="000000"/>
          <w:lang w:val="el-GR"/>
        </w:rPr>
        <w:t>’), η καταβολή Ενδιάμεσου Μερίσματος θα πραγματοποιηθεί μέσω ηλεκτρονικής μεταφοράς σε λογαριασμό τους στην Τράπεζα Κύπρου Δημόσια Εταιρία Λίμιτεδ ή σε άλλο χρηματοπιστωτικό ίδρυμα ή μέσω επιταγής που θα σταλεί στη διεύθυνση του Κατόχου ΠΔ που είναι καταχωρημένη στο Κεντρικό Αποθετήριο και Κεντρικό Μητρώο Αξιών του ΧΑΚ (το ‘</w:t>
      </w:r>
      <w:r w:rsidRPr="004C1C17">
        <w:rPr>
          <w:rFonts w:ascii="Arial" w:eastAsia="Arial" w:hAnsi="Arial"/>
          <w:b/>
          <w:bCs/>
          <w:color w:val="000000"/>
          <w:lang w:val="el-GR"/>
        </w:rPr>
        <w:t>ΚΑΜ</w:t>
      </w:r>
      <w:r w:rsidRPr="004C1C17">
        <w:rPr>
          <w:rFonts w:ascii="Arial" w:eastAsia="Arial" w:hAnsi="Arial"/>
          <w:color w:val="000000"/>
          <w:lang w:val="el-GR"/>
        </w:rPr>
        <w:t>’) κατά την Ημερομηνία Αρχείου.</w:t>
      </w:r>
    </w:p>
    <w:p w14:paraId="5DEB5FD0" w14:textId="77777777" w:rsidR="000F187C" w:rsidRDefault="000F187C" w:rsidP="000F187C">
      <w:pPr>
        <w:spacing w:after="0" w:line="240" w:lineRule="auto"/>
        <w:ind w:right="-20"/>
        <w:rPr>
          <w:rFonts w:ascii="Arial" w:eastAsia="Times New Roman" w:hAnsi="Arial" w:cs="Arial"/>
          <w:b/>
          <w:i/>
          <w:sz w:val="16"/>
          <w:szCs w:val="16"/>
          <w:lang w:val="el-GR"/>
        </w:rPr>
      </w:pPr>
    </w:p>
    <w:p w14:paraId="29C7A686" w14:textId="77777777" w:rsidR="000F187C" w:rsidRPr="001A2D5D" w:rsidRDefault="000F187C" w:rsidP="000F187C">
      <w:pPr>
        <w:pStyle w:val="ListParagraph"/>
        <w:numPr>
          <w:ilvl w:val="0"/>
          <w:numId w:val="28"/>
        </w:numPr>
        <w:spacing w:after="0" w:line="240" w:lineRule="auto"/>
        <w:ind w:right="-20"/>
        <w:rPr>
          <w:rFonts w:ascii="Arial" w:eastAsia="Times New Roman" w:hAnsi="Arial" w:cs="Arial"/>
          <w:bCs/>
          <w:iCs/>
          <w:sz w:val="16"/>
          <w:szCs w:val="16"/>
          <w:lang w:val="el-GR"/>
        </w:rPr>
      </w:pPr>
      <w:r w:rsidRPr="001A2D5D">
        <w:rPr>
          <w:rFonts w:ascii="Arial" w:eastAsia="Times New Roman" w:hAnsi="Arial" w:cs="Arial"/>
          <w:bCs/>
          <w:iCs/>
          <w:sz w:val="16"/>
          <w:szCs w:val="16"/>
          <w:lang w:val="el-GR"/>
        </w:rPr>
        <w:t>Υπολογισμένο με βάση το συνολικό μετοχικό κεφάλαιο της Εταιρίας στις 30 Ιουνίου 2025.</w:t>
      </w:r>
    </w:p>
    <w:p w14:paraId="6B4C3519" w14:textId="77777777" w:rsidR="000F187C" w:rsidRPr="001A2D5D" w:rsidRDefault="000F187C" w:rsidP="000F187C">
      <w:pPr>
        <w:pStyle w:val="ListParagraph"/>
        <w:numPr>
          <w:ilvl w:val="0"/>
          <w:numId w:val="28"/>
        </w:numPr>
        <w:spacing w:after="0" w:line="240" w:lineRule="auto"/>
        <w:ind w:right="-20"/>
        <w:rPr>
          <w:rFonts w:ascii="Arial" w:eastAsia="Times New Roman" w:hAnsi="Arial" w:cs="Arial"/>
          <w:bCs/>
          <w:iCs/>
          <w:sz w:val="16"/>
          <w:szCs w:val="16"/>
          <w:vertAlign w:val="superscript"/>
          <w:lang w:val="el-GR"/>
        </w:rPr>
      </w:pPr>
      <w:r w:rsidRPr="001A2D5D">
        <w:rPr>
          <w:rFonts w:ascii="Arial" w:eastAsia="Times New Roman" w:hAnsi="Arial" w:cs="Arial"/>
          <w:bCs/>
          <w:iCs/>
          <w:sz w:val="16"/>
          <w:szCs w:val="16"/>
          <w:lang w:val="el-GR"/>
        </w:rPr>
        <w:t>Το ποσοστό (</w:t>
      </w:r>
      <w:r w:rsidRPr="001A2D5D">
        <w:rPr>
          <w:rFonts w:ascii="Arial" w:eastAsia="Times New Roman" w:hAnsi="Arial" w:cs="Arial"/>
          <w:bCs/>
          <w:iCs/>
          <w:sz w:val="16"/>
          <w:szCs w:val="16"/>
        </w:rPr>
        <w:t>payout</w:t>
      </w:r>
      <w:r w:rsidRPr="001A2D5D">
        <w:rPr>
          <w:rFonts w:ascii="Arial" w:eastAsia="Times New Roman" w:hAnsi="Arial" w:cs="Arial"/>
          <w:bCs/>
          <w:iCs/>
          <w:sz w:val="16"/>
          <w:szCs w:val="16"/>
          <w:lang w:val="el-GR"/>
        </w:rPr>
        <w:t xml:space="preserve"> </w:t>
      </w:r>
      <w:r w:rsidRPr="001A2D5D">
        <w:rPr>
          <w:rFonts w:ascii="Arial" w:eastAsia="Times New Roman" w:hAnsi="Arial" w:cs="Arial"/>
          <w:bCs/>
          <w:iCs/>
          <w:sz w:val="16"/>
          <w:szCs w:val="16"/>
        </w:rPr>
        <w:t>ratio</w:t>
      </w:r>
      <w:r w:rsidRPr="001A2D5D">
        <w:rPr>
          <w:rFonts w:ascii="Arial" w:eastAsia="Times New Roman" w:hAnsi="Arial" w:cs="Arial"/>
          <w:bCs/>
          <w:iCs/>
          <w:sz w:val="16"/>
          <w:szCs w:val="16"/>
          <w:lang w:val="el-GR"/>
        </w:rPr>
        <w:t>) υπολογίζεται σύμφωνα με την προσαρμοσμένη κερδοφορία πριν των μη επαναλαμβανόμενων στοιχείων του Συγκροτήματος που ορίζεται ως τα κέρδη μετά τη φορολογία και πριν τα μη-επαναλαμβανόμενα στοιχεία (που αναλογούν στους ιδιοκτήτες του Συγκροτήματος), λαμβάνοντας υπόψ</w:t>
      </w:r>
      <w:r>
        <w:rPr>
          <w:rFonts w:ascii="Arial" w:eastAsia="Times New Roman" w:hAnsi="Arial" w:cs="Arial"/>
          <w:bCs/>
          <w:iCs/>
          <w:sz w:val="16"/>
          <w:szCs w:val="16"/>
          <w:lang w:val="el-GR"/>
        </w:rPr>
        <w:t>η</w:t>
      </w:r>
      <w:r w:rsidRPr="001A2D5D">
        <w:rPr>
          <w:rFonts w:ascii="Arial" w:eastAsia="Times New Roman" w:hAnsi="Arial" w:cs="Arial"/>
          <w:bCs/>
          <w:iCs/>
          <w:sz w:val="16"/>
          <w:szCs w:val="16"/>
          <w:lang w:val="el-GR"/>
        </w:rPr>
        <w:t xml:space="preserve"> τις διανομές από τους λοιπούς συμμετοχικούς τίτλους, όπως την πληρωμή κουπονιού στους κατόχους Χρεογράφων Κατηγορίας 1.  </w:t>
      </w:r>
    </w:p>
    <w:p w14:paraId="659DF8CA" w14:textId="77777777" w:rsidR="000F187C" w:rsidRPr="001A2D5D" w:rsidRDefault="000F187C" w:rsidP="000F187C">
      <w:pPr>
        <w:pStyle w:val="ListParagraph"/>
        <w:numPr>
          <w:ilvl w:val="0"/>
          <w:numId w:val="28"/>
        </w:numPr>
        <w:spacing w:after="0" w:line="240" w:lineRule="auto"/>
        <w:ind w:right="-20"/>
        <w:rPr>
          <w:rFonts w:ascii="Arial" w:eastAsia="Times New Roman" w:hAnsi="Arial" w:cs="Arial"/>
          <w:bCs/>
          <w:iCs/>
          <w:sz w:val="16"/>
          <w:szCs w:val="16"/>
          <w:lang w:val="el-GR"/>
        </w:rPr>
      </w:pPr>
      <w:r w:rsidRPr="001A2D5D">
        <w:rPr>
          <w:rFonts w:ascii="Arial" w:eastAsia="Times New Roman" w:hAnsi="Arial" w:cs="Arial"/>
          <w:bCs/>
          <w:iCs/>
          <w:sz w:val="16"/>
          <w:szCs w:val="16"/>
          <w:lang w:val="el-GR"/>
        </w:rPr>
        <w:t>Η ημερομηνία αρχείου αναφέρεται στην ημερομηνία του μητρώου μετοχών όπου οι μέτοχοι είναι επιλέξιμοι για το προτεινόμενο</w:t>
      </w:r>
      <w:r w:rsidRPr="00A42FF3">
        <w:rPr>
          <w:rFonts w:ascii="Arial" w:eastAsia="Times New Roman" w:hAnsi="Arial" w:cs="Arial"/>
          <w:bCs/>
          <w:iCs/>
          <w:sz w:val="16"/>
          <w:szCs w:val="16"/>
          <w:lang w:val="el-GR"/>
        </w:rPr>
        <w:t xml:space="preserve"> </w:t>
      </w:r>
      <w:r>
        <w:rPr>
          <w:rFonts w:ascii="Arial" w:eastAsia="Times New Roman" w:hAnsi="Arial" w:cs="Arial"/>
          <w:bCs/>
          <w:iCs/>
          <w:sz w:val="16"/>
          <w:szCs w:val="16"/>
          <w:lang w:val="el-GR"/>
        </w:rPr>
        <w:t>ενδιάμεσο</w:t>
      </w:r>
      <w:r w:rsidRPr="001A2D5D">
        <w:rPr>
          <w:rFonts w:ascii="Arial" w:eastAsia="Times New Roman" w:hAnsi="Arial" w:cs="Arial"/>
          <w:bCs/>
          <w:iCs/>
          <w:sz w:val="16"/>
          <w:szCs w:val="16"/>
          <w:lang w:val="el-GR"/>
        </w:rPr>
        <w:t xml:space="preserve"> μέρισμα.</w:t>
      </w:r>
    </w:p>
    <w:p w14:paraId="785E4F32" w14:textId="77777777" w:rsidR="000F187C" w:rsidRDefault="000F187C" w:rsidP="000F187C">
      <w:pPr>
        <w:pStyle w:val="ListParagraph"/>
        <w:numPr>
          <w:ilvl w:val="0"/>
          <w:numId w:val="28"/>
        </w:numPr>
        <w:spacing w:after="0" w:line="240" w:lineRule="auto"/>
        <w:ind w:right="-20"/>
        <w:rPr>
          <w:rFonts w:ascii="Arial" w:eastAsia="Times New Roman" w:hAnsi="Arial" w:cs="Arial"/>
          <w:bCs/>
          <w:iCs/>
          <w:sz w:val="16"/>
          <w:szCs w:val="16"/>
          <w:lang w:val="el-GR"/>
        </w:rPr>
      </w:pPr>
      <w:r w:rsidRPr="001A2D5D">
        <w:rPr>
          <w:rFonts w:ascii="Arial" w:eastAsia="Times New Roman" w:hAnsi="Arial" w:cs="Arial"/>
          <w:bCs/>
          <w:iCs/>
          <w:sz w:val="16"/>
          <w:szCs w:val="16"/>
          <w:lang w:val="el-GR"/>
        </w:rPr>
        <w:t>Η ημερομηνία Αποκοπής (‘</w:t>
      </w:r>
      <w:r w:rsidRPr="001A2D5D">
        <w:rPr>
          <w:rFonts w:ascii="Arial" w:eastAsia="Times New Roman" w:hAnsi="Arial" w:cs="Arial"/>
          <w:bCs/>
          <w:iCs/>
          <w:sz w:val="16"/>
          <w:szCs w:val="16"/>
        </w:rPr>
        <w:t>Ex</w:t>
      </w:r>
      <w:r w:rsidRPr="001A2D5D">
        <w:rPr>
          <w:rFonts w:ascii="Arial" w:eastAsia="Times New Roman" w:hAnsi="Arial" w:cs="Arial"/>
          <w:bCs/>
          <w:iCs/>
          <w:sz w:val="16"/>
          <w:szCs w:val="16"/>
          <w:lang w:val="el-GR"/>
        </w:rPr>
        <w:t>-</w:t>
      </w:r>
      <w:r w:rsidRPr="001A2D5D">
        <w:rPr>
          <w:rFonts w:ascii="Arial" w:eastAsia="Times New Roman" w:hAnsi="Arial" w:cs="Arial"/>
          <w:bCs/>
          <w:iCs/>
          <w:sz w:val="16"/>
          <w:szCs w:val="16"/>
        </w:rPr>
        <w:t>Dividend</w:t>
      </w:r>
      <w:r w:rsidRPr="001A2D5D">
        <w:rPr>
          <w:rFonts w:ascii="Arial" w:eastAsia="Times New Roman" w:hAnsi="Arial" w:cs="Arial"/>
          <w:bCs/>
          <w:iCs/>
          <w:sz w:val="16"/>
          <w:szCs w:val="16"/>
          <w:lang w:val="el-GR"/>
        </w:rPr>
        <w:t xml:space="preserve"> </w:t>
      </w:r>
      <w:r w:rsidRPr="001A2D5D">
        <w:rPr>
          <w:rFonts w:ascii="Arial" w:eastAsia="Times New Roman" w:hAnsi="Arial" w:cs="Arial"/>
          <w:bCs/>
          <w:iCs/>
          <w:sz w:val="16"/>
          <w:szCs w:val="16"/>
        </w:rPr>
        <w:t>date</w:t>
      </w:r>
      <w:r w:rsidRPr="001A2D5D">
        <w:rPr>
          <w:rFonts w:ascii="Arial" w:eastAsia="Times New Roman" w:hAnsi="Arial" w:cs="Arial"/>
          <w:bCs/>
          <w:iCs/>
          <w:sz w:val="16"/>
          <w:szCs w:val="16"/>
          <w:lang w:val="el-GR"/>
        </w:rPr>
        <w:t xml:space="preserve">’) αναφέρεται στην ημέρα κατά την οποία η μετοχή της Εταιρίας αρχίζει να διαπραγματεύεται χωρίς την αξία του εκάστοτε </w:t>
      </w:r>
      <w:r>
        <w:rPr>
          <w:rFonts w:ascii="Arial" w:eastAsia="Times New Roman" w:hAnsi="Arial" w:cs="Arial"/>
          <w:bCs/>
          <w:iCs/>
          <w:sz w:val="16"/>
          <w:szCs w:val="16"/>
          <w:lang w:val="el-GR"/>
        </w:rPr>
        <w:t xml:space="preserve">ενδιάμεσου </w:t>
      </w:r>
      <w:r w:rsidRPr="001A2D5D">
        <w:rPr>
          <w:rFonts w:ascii="Arial" w:eastAsia="Times New Roman" w:hAnsi="Arial" w:cs="Arial"/>
          <w:bCs/>
          <w:iCs/>
          <w:sz w:val="16"/>
          <w:szCs w:val="16"/>
          <w:lang w:val="el-GR"/>
        </w:rPr>
        <w:t xml:space="preserve">μερίσματος. </w:t>
      </w:r>
    </w:p>
    <w:p w14:paraId="47F63506" w14:textId="77777777" w:rsidR="000F187C" w:rsidRPr="001A2D5D" w:rsidRDefault="000F187C" w:rsidP="000F187C">
      <w:pPr>
        <w:pStyle w:val="ListParagraph"/>
        <w:spacing w:after="0" w:line="240" w:lineRule="auto"/>
        <w:ind w:right="-20"/>
        <w:rPr>
          <w:rFonts w:ascii="Arial" w:eastAsia="Times New Roman" w:hAnsi="Arial" w:cs="Arial"/>
          <w:bCs/>
          <w:iCs/>
          <w:sz w:val="16"/>
          <w:szCs w:val="16"/>
          <w:lang w:val="el-GR"/>
        </w:rPr>
      </w:pPr>
    </w:p>
    <w:p w14:paraId="6CB772C6" w14:textId="77777777" w:rsidR="004C1C17" w:rsidRPr="008E0F8F" w:rsidRDefault="00FF0E70" w:rsidP="00EB0C79">
      <w:pPr>
        <w:tabs>
          <w:tab w:val="left" w:pos="720"/>
          <w:tab w:val="left" w:pos="851"/>
        </w:tabs>
        <w:spacing w:before="14" w:after="0" w:line="240" w:lineRule="auto"/>
        <w:ind w:left="993" w:right="74" w:hanging="425"/>
        <w:jc w:val="both"/>
        <w:textAlignment w:val="baseline"/>
        <w:rPr>
          <w:rFonts w:ascii="Arial" w:eastAsia="Arial" w:hAnsi="Arial"/>
          <w:color w:val="000000"/>
          <w:lang w:val="el-GR"/>
        </w:rPr>
      </w:pPr>
      <w:r>
        <w:rPr>
          <w:rFonts w:ascii="Arial" w:eastAsia="Arial" w:hAnsi="Arial"/>
          <w:color w:val="000000"/>
          <w:lang w:val="el-GR"/>
        </w:rPr>
        <w:lastRenderedPageBreak/>
        <w:t xml:space="preserve">(α) </w:t>
      </w:r>
      <w:r w:rsidR="00BE4A3B" w:rsidRPr="00E9001A">
        <w:rPr>
          <w:rFonts w:ascii="Arial" w:eastAsia="Arial" w:hAnsi="Arial"/>
          <w:color w:val="000000"/>
          <w:lang w:val="el-GR"/>
        </w:rPr>
        <w:t xml:space="preserve">Για τους Κατόχους ΠΔ που κατέχουν τα δικαιώματά τους μέσω συμμετεχόντων στο σύστημα άυλων τίτλων που διαχειρίζεται το ΚΑΜ (οι </w:t>
      </w:r>
      <w:r w:rsidR="00BE4A3B" w:rsidRPr="000F187C">
        <w:rPr>
          <w:rFonts w:ascii="Arial" w:eastAsia="Arial" w:hAnsi="Arial"/>
          <w:b/>
          <w:bCs/>
          <w:color w:val="000000"/>
          <w:lang w:val="el-GR"/>
        </w:rPr>
        <w:t>‘Συμμετέχοντες ΚΑΜ</w:t>
      </w:r>
      <w:r w:rsidR="000F187C">
        <w:rPr>
          <w:rFonts w:ascii="Arial" w:eastAsia="Arial" w:hAnsi="Arial"/>
          <w:color w:val="000000"/>
          <w:lang w:val="el-GR"/>
        </w:rPr>
        <w:t>’</w:t>
      </w:r>
      <w:r w:rsidR="00BE4A3B" w:rsidRPr="00E9001A">
        <w:rPr>
          <w:rFonts w:ascii="Arial" w:eastAsia="Arial" w:hAnsi="Arial"/>
          <w:color w:val="000000"/>
          <w:lang w:val="el-GR"/>
        </w:rPr>
        <w:t xml:space="preserve">), η </w:t>
      </w:r>
      <w:r w:rsidR="00BE4A3B">
        <w:rPr>
          <w:rFonts w:ascii="Arial" w:eastAsia="Arial" w:hAnsi="Arial"/>
          <w:color w:val="000000"/>
          <w:lang w:val="el-GR"/>
        </w:rPr>
        <w:t>κ</w:t>
      </w:r>
      <w:r w:rsidR="00BE4A3B" w:rsidRPr="00E9001A">
        <w:rPr>
          <w:rFonts w:ascii="Arial" w:eastAsia="Arial" w:hAnsi="Arial"/>
          <w:color w:val="000000"/>
          <w:lang w:val="el-GR"/>
        </w:rPr>
        <w:t>αταβολή</w:t>
      </w:r>
      <w:r w:rsidR="00BE4A3B">
        <w:rPr>
          <w:rFonts w:ascii="Arial" w:eastAsia="Arial" w:hAnsi="Arial"/>
          <w:color w:val="000000"/>
          <w:lang w:val="el-GR"/>
        </w:rPr>
        <w:t xml:space="preserve"> Ενδιάμεσου</w:t>
      </w:r>
      <w:r w:rsidR="00BE4A3B" w:rsidRPr="00E9001A">
        <w:rPr>
          <w:rFonts w:ascii="Arial" w:eastAsia="Arial" w:hAnsi="Arial"/>
          <w:color w:val="000000"/>
          <w:lang w:val="el-GR"/>
        </w:rPr>
        <w:t xml:space="preserve"> Μερίσματος θα πραγματοποιηθεί μέσω του Συμμετέχοντα ΚΑΜ, μετά την καταβολή του σχετικού ποσού από την Εταιρία στο ΚΑΜ. Η Εταιρία θα ενεργεί ως πληρώτρια για την καταβολή του </w:t>
      </w:r>
      <w:r w:rsidR="00BE4A3B">
        <w:rPr>
          <w:rFonts w:ascii="Arial" w:eastAsia="Arial" w:hAnsi="Arial"/>
          <w:color w:val="000000"/>
          <w:lang w:val="el-GR"/>
        </w:rPr>
        <w:t xml:space="preserve">Ενδιάμεσου </w:t>
      </w:r>
      <w:r w:rsidR="00BE4A3B" w:rsidRPr="00E9001A">
        <w:rPr>
          <w:rFonts w:ascii="Arial" w:eastAsia="Arial" w:hAnsi="Arial"/>
          <w:color w:val="000000"/>
          <w:lang w:val="el-GR"/>
        </w:rPr>
        <w:t>Μερίσματος στους Κατόχους ΠΔ.</w:t>
      </w:r>
    </w:p>
    <w:p w14:paraId="56F1E69D" w14:textId="77777777" w:rsidR="004C1C17" w:rsidRPr="008E0F8F" w:rsidRDefault="004C1C17" w:rsidP="00EB0C79">
      <w:pPr>
        <w:tabs>
          <w:tab w:val="left" w:pos="720"/>
          <w:tab w:val="left" w:pos="851"/>
        </w:tabs>
        <w:spacing w:before="14" w:after="0" w:line="240" w:lineRule="auto"/>
        <w:ind w:left="993" w:right="74" w:hanging="425"/>
        <w:jc w:val="both"/>
        <w:textAlignment w:val="baseline"/>
        <w:rPr>
          <w:rFonts w:ascii="Arial" w:eastAsia="Arial" w:hAnsi="Arial"/>
          <w:color w:val="000000"/>
          <w:lang w:val="el-GR"/>
        </w:rPr>
      </w:pPr>
    </w:p>
    <w:p w14:paraId="7901105D" w14:textId="0A8007C9" w:rsidR="00FF0E70" w:rsidRPr="008E0F8F" w:rsidRDefault="00FF0E70" w:rsidP="00EB0C79">
      <w:pPr>
        <w:tabs>
          <w:tab w:val="left" w:pos="720"/>
          <w:tab w:val="left" w:pos="851"/>
        </w:tabs>
        <w:spacing w:before="14" w:after="0" w:line="240" w:lineRule="auto"/>
        <w:ind w:left="993" w:right="74" w:hanging="425"/>
        <w:jc w:val="both"/>
        <w:textAlignment w:val="baseline"/>
        <w:rPr>
          <w:rFonts w:ascii="Arial" w:eastAsia="Arial" w:hAnsi="Arial"/>
          <w:color w:val="000000"/>
          <w:lang w:val="el-GR"/>
        </w:rPr>
      </w:pPr>
      <w:r>
        <w:rPr>
          <w:rFonts w:ascii="Arial" w:eastAsia="Arial" w:hAnsi="Arial"/>
          <w:color w:val="000000"/>
          <w:lang w:val="el-GR"/>
        </w:rPr>
        <w:t xml:space="preserve">(β) </w:t>
      </w:r>
      <w:r w:rsidRPr="00E9001A">
        <w:rPr>
          <w:rFonts w:ascii="Arial" w:eastAsia="Arial" w:hAnsi="Arial"/>
          <w:color w:val="000000"/>
          <w:lang w:val="el-GR"/>
        </w:rPr>
        <w:t>Για τους Κατόχους ΠΔ</w:t>
      </w:r>
      <w:r w:rsidRPr="00FF0E70">
        <w:rPr>
          <w:rFonts w:ascii="Arial" w:eastAsia="Arial" w:hAnsi="Arial"/>
          <w:color w:val="000000"/>
          <w:lang w:val="el-GR"/>
        </w:rPr>
        <w:t xml:space="preserve"> που είναι πελάτες της Τράπεζας Κύπρου Δημόσιας Εταιρίας Λίμιτεδ (η  ‘</w:t>
      </w:r>
      <w:r w:rsidRPr="000F187C">
        <w:rPr>
          <w:rFonts w:ascii="Arial" w:eastAsia="Arial" w:hAnsi="Arial"/>
          <w:b/>
          <w:bCs/>
          <w:color w:val="000000"/>
          <w:lang w:val="el-GR"/>
        </w:rPr>
        <w:t>Τράπεζα Κύπρου</w:t>
      </w:r>
      <w:r w:rsidRPr="00FF0E70">
        <w:rPr>
          <w:rFonts w:ascii="Arial" w:eastAsia="Arial" w:hAnsi="Arial"/>
          <w:color w:val="000000"/>
          <w:lang w:val="el-GR"/>
        </w:rPr>
        <w:t xml:space="preserve">’) και δεν είναι νομικά πρόσωπα ή πρόσωπα που κατέχουν μετοχές της Εταιρίας σε κοινό λογαριασμό στο </w:t>
      </w:r>
      <w:r w:rsidR="000F187C">
        <w:rPr>
          <w:rFonts w:ascii="Arial" w:eastAsia="Arial" w:hAnsi="Arial"/>
          <w:color w:val="000000"/>
          <w:lang w:val="el-GR"/>
        </w:rPr>
        <w:t>ΚΑΜ</w:t>
      </w:r>
      <w:r>
        <w:rPr>
          <w:rFonts w:ascii="Arial" w:eastAsia="Arial" w:hAnsi="Arial"/>
          <w:color w:val="000000"/>
          <w:lang w:val="el-GR"/>
        </w:rPr>
        <w:t xml:space="preserve"> και δεν κατέχουν </w:t>
      </w:r>
      <w:r w:rsidRPr="00E9001A">
        <w:rPr>
          <w:rFonts w:ascii="Arial" w:eastAsia="Arial" w:hAnsi="Arial"/>
          <w:color w:val="000000"/>
          <w:lang w:val="el-GR"/>
        </w:rPr>
        <w:t>δικαιώματά</w:t>
      </w:r>
      <w:r>
        <w:rPr>
          <w:rFonts w:ascii="Arial" w:eastAsia="Arial" w:hAnsi="Arial"/>
          <w:color w:val="000000"/>
          <w:lang w:val="el-GR"/>
        </w:rPr>
        <w:t xml:space="preserve"> μέσω </w:t>
      </w:r>
      <w:r w:rsidRPr="00FF0E70">
        <w:rPr>
          <w:rFonts w:ascii="Arial" w:eastAsia="Arial" w:hAnsi="Arial"/>
          <w:color w:val="000000"/>
          <w:lang w:val="el-GR"/>
        </w:rPr>
        <w:t>Συμμετ</w:t>
      </w:r>
      <w:r>
        <w:rPr>
          <w:rFonts w:ascii="Arial" w:eastAsia="Arial" w:hAnsi="Arial"/>
          <w:color w:val="000000"/>
          <w:lang w:val="el-GR"/>
        </w:rPr>
        <w:t>εχόντων</w:t>
      </w:r>
      <w:r w:rsidRPr="00FF0E70">
        <w:rPr>
          <w:rFonts w:ascii="Arial" w:eastAsia="Arial" w:hAnsi="Arial"/>
          <w:color w:val="000000"/>
          <w:lang w:val="el-GR"/>
        </w:rPr>
        <w:t xml:space="preserve"> ΚΑΜ:</w:t>
      </w:r>
    </w:p>
    <w:p w14:paraId="5443C352" w14:textId="77777777" w:rsidR="004C1C17" w:rsidRPr="008E0F8F" w:rsidRDefault="004C1C17" w:rsidP="00EB0C79">
      <w:pPr>
        <w:tabs>
          <w:tab w:val="left" w:pos="720"/>
          <w:tab w:val="left" w:pos="851"/>
        </w:tabs>
        <w:spacing w:before="14" w:after="0" w:line="240" w:lineRule="auto"/>
        <w:ind w:left="993" w:right="74" w:hanging="425"/>
        <w:jc w:val="both"/>
        <w:textAlignment w:val="baseline"/>
        <w:rPr>
          <w:rFonts w:ascii="Arial" w:eastAsia="Arial" w:hAnsi="Arial"/>
          <w:color w:val="000000"/>
          <w:lang w:val="el-GR"/>
        </w:rPr>
      </w:pPr>
    </w:p>
    <w:p w14:paraId="5B4D880A" w14:textId="2E3AC6C5" w:rsidR="004C1C17" w:rsidRPr="008E0F8F" w:rsidRDefault="00FF0E70" w:rsidP="000F1A52">
      <w:pPr>
        <w:pStyle w:val="ListParagraph"/>
        <w:numPr>
          <w:ilvl w:val="0"/>
          <w:numId w:val="30"/>
        </w:numPr>
        <w:tabs>
          <w:tab w:val="left" w:pos="720"/>
        </w:tabs>
        <w:spacing w:before="14" w:after="0" w:line="240" w:lineRule="auto"/>
        <w:ind w:right="74"/>
        <w:jc w:val="both"/>
        <w:textAlignment w:val="baseline"/>
        <w:rPr>
          <w:rFonts w:ascii="Arial" w:eastAsia="Arial" w:hAnsi="Arial"/>
          <w:lang w:val="el-GR"/>
        </w:rPr>
      </w:pPr>
      <w:r w:rsidRPr="008E0F8F">
        <w:rPr>
          <w:rFonts w:ascii="Arial" w:eastAsia="Arial" w:hAnsi="Arial"/>
          <w:color w:val="000000"/>
          <w:lang w:val="el-GR"/>
        </w:rPr>
        <w:t xml:space="preserve">εάν είναι </w:t>
      </w:r>
      <w:r w:rsidRPr="008E0F8F">
        <w:rPr>
          <w:rFonts w:ascii="Arial" w:eastAsia="Arial" w:hAnsi="Arial"/>
          <w:b/>
          <w:bCs/>
          <w:color w:val="000000"/>
          <w:lang w:val="el-GR"/>
        </w:rPr>
        <w:t>συνδρομητές της 1</w:t>
      </w:r>
      <w:r w:rsidRPr="008E0F8F">
        <w:rPr>
          <w:rFonts w:ascii="Arial" w:eastAsia="Arial" w:hAnsi="Arial"/>
          <w:b/>
          <w:bCs/>
          <w:color w:val="000000"/>
        </w:rPr>
        <w:t>bank</w:t>
      </w:r>
      <w:r w:rsidRPr="008E0F8F">
        <w:rPr>
          <w:rFonts w:ascii="Arial" w:eastAsia="Arial" w:hAnsi="Arial"/>
          <w:color w:val="000000"/>
          <w:lang w:val="el-GR"/>
        </w:rPr>
        <w:t xml:space="preserve"> και ενεργοί χρήστες της υπηρεσίας ηλεκτρονικής τραπεζικής (</w:t>
      </w:r>
      <w:r w:rsidRPr="008E0F8F">
        <w:rPr>
          <w:rFonts w:ascii="Arial" w:eastAsia="Arial" w:hAnsi="Arial"/>
          <w:color w:val="000000"/>
        </w:rPr>
        <w:t>Internet</w:t>
      </w:r>
      <w:r w:rsidRPr="008E0F8F">
        <w:rPr>
          <w:rFonts w:ascii="Arial" w:eastAsia="Arial" w:hAnsi="Arial"/>
          <w:color w:val="000000"/>
          <w:lang w:val="el-GR"/>
        </w:rPr>
        <w:t xml:space="preserve"> </w:t>
      </w:r>
      <w:r w:rsidRPr="008E0F8F">
        <w:rPr>
          <w:rFonts w:ascii="Arial" w:eastAsia="Arial" w:hAnsi="Arial"/>
          <w:color w:val="000000"/>
        </w:rPr>
        <w:t>Banking</w:t>
      </w:r>
      <w:r w:rsidRPr="008E0F8F">
        <w:rPr>
          <w:rFonts w:ascii="Arial" w:eastAsia="Arial" w:hAnsi="Arial"/>
          <w:color w:val="000000"/>
          <w:lang w:val="el-GR"/>
        </w:rPr>
        <w:t>) και/ ή της εφαρμογής της Τράπεζας  Κύπρου στα κινητά ή άλλες συσκευές (</w:t>
      </w:r>
      <w:r w:rsidRPr="008E0F8F">
        <w:rPr>
          <w:rFonts w:ascii="Arial" w:eastAsia="Arial" w:hAnsi="Arial"/>
          <w:color w:val="000000"/>
        </w:rPr>
        <w:t>BoC</w:t>
      </w:r>
      <w:r w:rsidRPr="008E0F8F">
        <w:rPr>
          <w:rFonts w:ascii="Arial" w:eastAsia="Arial" w:hAnsi="Arial"/>
          <w:color w:val="000000"/>
          <w:lang w:val="el-GR"/>
        </w:rPr>
        <w:t xml:space="preserve"> </w:t>
      </w:r>
      <w:r w:rsidRPr="008E0F8F">
        <w:rPr>
          <w:rFonts w:ascii="Arial" w:eastAsia="Arial" w:hAnsi="Arial"/>
          <w:color w:val="000000"/>
        </w:rPr>
        <w:t>Mobile</w:t>
      </w:r>
      <w:r w:rsidRPr="008E0F8F">
        <w:rPr>
          <w:rFonts w:ascii="Arial" w:eastAsia="Arial" w:hAnsi="Arial"/>
          <w:color w:val="000000"/>
          <w:lang w:val="el-GR"/>
        </w:rPr>
        <w:t xml:space="preserve"> </w:t>
      </w:r>
      <w:r w:rsidRPr="008E0F8F">
        <w:rPr>
          <w:rFonts w:ascii="Arial" w:eastAsia="Arial" w:hAnsi="Arial"/>
          <w:color w:val="000000"/>
        </w:rPr>
        <w:t>app</w:t>
      </w:r>
      <w:r w:rsidRPr="008E0F8F">
        <w:rPr>
          <w:rFonts w:ascii="Arial" w:eastAsia="Arial" w:hAnsi="Arial"/>
          <w:color w:val="000000"/>
          <w:lang w:val="el-GR"/>
        </w:rPr>
        <w:t xml:space="preserve">), μπορούν να επιλέξουν να λαμβάνουν τα τυχόν μελλοντικά τους μερίσματα με ηλεκτρονική μεταφορά σε λογαριασμό στο όνομά τους μέσω της υπηρεσίας ηλεκτρονικής τραπεζικής </w:t>
      </w:r>
      <w:r w:rsidRPr="008E0F8F">
        <w:rPr>
          <w:rFonts w:ascii="Arial" w:eastAsia="Arial" w:hAnsi="Arial"/>
          <w:color w:val="000000"/>
        </w:rPr>
        <w:t>Internet</w:t>
      </w:r>
      <w:r w:rsidRPr="008E0F8F">
        <w:rPr>
          <w:rFonts w:ascii="Arial" w:eastAsia="Arial" w:hAnsi="Arial"/>
          <w:color w:val="000000"/>
          <w:lang w:val="el-GR"/>
        </w:rPr>
        <w:t xml:space="preserve"> </w:t>
      </w:r>
      <w:r w:rsidRPr="008E0F8F">
        <w:rPr>
          <w:rFonts w:ascii="Arial" w:eastAsia="Arial" w:hAnsi="Arial"/>
          <w:color w:val="000000"/>
        </w:rPr>
        <w:t>Banking</w:t>
      </w:r>
      <w:r w:rsidRPr="008E0F8F">
        <w:rPr>
          <w:rFonts w:ascii="Arial" w:eastAsia="Arial" w:hAnsi="Arial"/>
          <w:color w:val="000000"/>
          <w:lang w:val="el-GR"/>
        </w:rPr>
        <w:t xml:space="preserve"> (</w:t>
      </w:r>
      <w:hyperlink r:id="rId9" w:history="1">
        <w:r w:rsidRPr="008E0F8F">
          <w:rPr>
            <w:rStyle w:val="Hyperlink"/>
            <w:rFonts w:ascii="Arial" w:eastAsia="Arial" w:hAnsi="Arial"/>
            <w:lang w:val="en-GB"/>
          </w:rPr>
          <w:t>https</w:t>
        </w:r>
        <w:r w:rsidRPr="008E0F8F">
          <w:rPr>
            <w:rStyle w:val="Hyperlink"/>
            <w:rFonts w:ascii="Arial" w:eastAsia="Arial" w:hAnsi="Arial"/>
            <w:lang w:val="el-GR"/>
          </w:rPr>
          <w:t>://</w:t>
        </w:r>
        <w:r w:rsidRPr="008E0F8F">
          <w:rPr>
            <w:rStyle w:val="Hyperlink"/>
            <w:rFonts w:ascii="Arial" w:eastAsia="Arial" w:hAnsi="Arial"/>
            <w:lang w:val="en-GB"/>
          </w:rPr>
          <w:t>online</w:t>
        </w:r>
        <w:r w:rsidRPr="008E0F8F">
          <w:rPr>
            <w:rStyle w:val="Hyperlink"/>
            <w:rFonts w:ascii="Arial" w:eastAsia="Arial" w:hAnsi="Arial"/>
            <w:lang w:val="el-GR"/>
          </w:rPr>
          <w:t>.</w:t>
        </w:r>
        <w:r w:rsidRPr="008E0F8F">
          <w:rPr>
            <w:rStyle w:val="Hyperlink"/>
            <w:rFonts w:ascii="Arial" w:eastAsia="Arial" w:hAnsi="Arial"/>
            <w:lang w:val="en-GB"/>
          </w:rPr>
          <w:t>bankofcyprus</w:t>
        </w:r>
        <w:r w:rsidRPr="008E0F8F">
          <w:rPr>
            <w:rStyle w:val="Hyperlink"/>
            <w:rFonts w:ascii="Arial" w:eastAsia="Arial" w:hAnsi="Arial"/>
            <w:lang w:val="el-GR"/>
          </w:rPr>
          <w:t>.</w:t>
        </w:r>
        <w:r w:rsidRPr="008E0F8F">
          <w:rPr>
            <w:rStyle w:val="Hyperlink"/>
            <w:rFonts w:ascii="Arial" w:eastAsia="Arial" w:hAnsi="Arial"/>
            <w:lang w:val="en-GB"/>
          </w:rPr>
          <w:t>com</w:t>
        </w:r>
        <w:r w:rsidRPr="008E0F8F">
          <w:rPr>
            <w:rStyle w:val="Hyperlink"/>
            <w:rFonts w:ascii="Arial" w:eastAsia="Arial" w:hAnsi="Arial"/>
            <w:lang w:val="el-GR"/>
          </w:rPr>
          <w:t>/</w:t>
        </w:r>
        <w:r w:rsidRPr="008E0F8F">
          <w:rPr>
            <w:rStyle w:val="Hyperlink"/>
            <w:rFonts w:ascii="Arial" w:eastAsia="Arial" w:hAnsi="Arial"/>
            <w:lang w:val="en-GB"/>
          </w:rPr>
          <w:t>Login</w:t>
        </w:r>
        <w:r w:rsidRPr="008E0F8F">
          <w:rPr>
            <w:rStyle w:val="Hyperlink"/>
            <w:rFonts w:ascii="Arial" w:eastAsia="Arial" w:hAnsi="Arial"/>
            <w:lang w:val="el-GR"/>
          </w:rPr>
          <w:t>_</w:t>
        </w:r>
        <w:r w:rsidRPr="008E0F8F">
          <w:rPr>
            <w:rStyle w:val="Hyperlink"/>
            <w:rFonts w:ascii="Arial" w:eastAsia="Arial" w:hAnsi="Arial"/>
            <w:lang w:val="en-GB"/>
          </w:rPr>
          <w:t>UI</w:t>
        </w:r>
        <w:r w:rsidRPr="008E0F8F">
          <w:rPr>
            <w:rStyle w:val="Hyperlink"/>
            <w:rFonts w:ascii="Arial" w:eastAsia="Arial" w:hAnsi="Arial"/>
            <w:lang w:val="el-GR"/>
          </w:rPr>
          <w:t>/</w:t>
        </w:r>
        <w:r w:rsidRPr="008E0F8F">
          <w:rPr>
            <w:rStyle w:val="Hyperlink"/>
            <w:rFonts w:ascii="Arial" w:eastAsia="Arial" w:hAnsi="Arial"/>
            <w:lang w:val="en-GB"/>
          </w:rPr>
          <w:t>Login</w:t>
        </w:r>
      </w:hyperlink>
      <w:r w:rsidRPr="008E0F8F">
        <w:rPr>
          <w:rFonts w:ascii="Arial" w:eastAsia="Arial" w:hAnsi="Arial"/>
          <w:color w:val="000000"/>
          <w:lang w:val="el-GR"/>
        </w:rPr>
        <w:t xml:space="preserve"> επιλέγοντας</w:t>
      </w:r>
      <w:r w:rsidR="004C1C17" w:rsidRPr="008E0F8F">
        <w:rPr>
          <w:rFonts w:ascii="Arial" w:eastAsia="Arial" w:hAnsi="Arial"/>
          <w:color w:val="000000"/>
          <w:lang w:val="el-GR"/>
        </w:rPr>
        <w:t xml:space="preserve"> </w:t>
      </w:r>
      <w:r w:rsidRPr="008E0F8F">
        <w:rPr>
          <w:rFonts w:ascii="Arial" w:eastAsia="Arial" w:hAnsi="Arial"/>
          <w:color w:val="000000"/>
          <w:lang w:val="el-GR"/>
        </w:rPr>
        <w:t xml:space="preserve">Προφίλ/Πληρωμή Μερισμάτων) ή της εφαρμογής της Τράπεζας </w:t>
      </w:r>
      <w:r w:rsidRPr="008E0F8F">
        <w:rPr>
          <w:rFonts w:ascii="Arial" w:eastAsia="Arial" w:hAnsi="Arial"/>
          <w:color w:val="000000"/>
        </w:rPr>
        <w:t>BoC</w:t>
      </w:r>
      <w:r w:rsidRPr="008E0F8F">
        <w:rPr>
          <w:rFonts w:ascii="Arial" w:eastAsia="Arial" w:hAnsi="Arial"/>
          <w:color w:val="000000"/>
          <w:lang w:val="el-GR"/>
        </w:rPr>
        <w:t xml:space="preserve"> </w:t>
      </w:r>
      <w:r w:rsidRPr="008E0F8F">
        <w:rPr>
          <w:rFonts w:ascii="Arial" w:eastAsia="Arial" w:hAnsi="Arial"/>
          <w:color w:val="000000"/>
        </w:rPr>
        <w:t>Mobile</w:t>
      </w:r>
      <w:r w:rsidRPr="008E0F8F">
        <w:rPr>
          <w:rFonts w:ascii="Arial" w:eastAsia="Arial" w:hAnsi="Arial"/>
          <w:color w:val="000000"/>
          <w:lang w:val="el-GR"/>
        </w:rPr>
        <w:t xml:space="preserve"> </w:t>
      </w:r>
      <w:r w:rsidRPr="008E0F8F">
        <w:rPr>
          <w:rFonts w:ascii="Arial" w:eastAsia="Arial" w:hAnsi="Arial"/>
          <w:color w:val="000000"/>
        </w:rPr>
        <w:t>app</w:t>
      </w:r>
      <w:r w:rsidRPr="008E0F8F">
        <w:rPr>
          <w:rFonts w:ascii="Arial" w:eastAsia="Arial" w:hAnsi="Arial"/>
          <w:color w:val="000000"/>
          <w:lang w:val="el-GR"/>
        </w:rPr>
        <w:t xml:space="preserve"> (επιλέγοντας Προσωπικές Πληροφορίες /Πληρωμή Μερισμάτων). </w:t>
      </w:r>
    </w:p>
    <w:p w14:paraId="288F85A9" w14:textId="77777777" w:rsidR="008E0F8F" w:rsidRPr="008E0F8F" w:rsidRDefault="008E0F8F" w:rsidP="008E0F8F">
      <w:pPr>
        <w:pStyle w:val="ListParagraph"/>
        <w:tabs>
          <w:tab w:val="left" w:pos="720"/>
        </w:tabs>
        <w:spacing w:before="14" w:after="0" w:line="240" w:lineRule="auto"/>
        <w:ind w:left="1440" w:right="74"/>
        <w:jc w:val="both"/>
        <w:textAlignment w:val="baseline"/>
        <w:rPr>
          <w:rFonts w:ascii="Arial" w:eastAsia="Arial" w:hAnsi="Arial"/>
          <w:lang w:val="el-GR"/>
        </w:rPr>
      </w:pPr>
    </w:p>
    <w:p w14:paraId="3FE7AB3C" w14:textId="685E88DD" w:rsidR="00FF0E70" w:rsidRPr="008E0F8F" w:rsidRDefault="00FF0E70" w:rsidP="004C1C17">
      <w:pPr>
        <w:pStyle w:val="ListParagraph"/>
        <w:numPr>
          <w:ilvl w:val="0"/>
          <w:numId w:val="30"/>
        </w:numPr>
        <w:tabs>
          <w:tab w:val="left" w:pos="720"/>
        </w:tabs>
        <w:spacing w:before="14" w:after="0" w:line="240" w:lineRule="auto"/>
        <w:ind w:right="74"/>
        <w:jc w:val="both"/>
        <w:textAlignment w:val="baseline"/>
        <w:rPr>
          <w:rFonts w:ascii="Arial" w:eastAsia="Arial" w:hAnsi="Arial"/>
          <w:color w:val="000000"/>
          <w:lang w:val="el-GR"/>
        </w:rPr>
      </w:pPr>
      <w:r w:rsidRPr="004C1C17">
        <w:rPr>
          <w:rFonts w:ascii="Arial" w:eastAsia="Arial" w:hAnsi="Arial"/>
          <w:color w:val="000000"/>
          <w:lang w:val="el-GR"/>
        </w:rPr>
        <w:t>σε περίπτωση που δεν είναι συνδρομητές στην 1</w:t>
      </w:r>
      <w:r w:rsidRPr="004C1C17">
        <w:rPr>
          <w:rFonts w:ascii="Arial" w:eastAsia="Arial" w:hAnsi="Arial"/>
          <w:color w:val="000000"/>
        </w:rPr>
        <w:t>b</w:t>
      </w:r>
      <w:r w:rsidRPr="004C1C17">
        <w:rPr>
          <w:rFonts w:ascii="Arial" w:eastAsia="Arial" w:hAnsi="Arial"/>
          <w:color w:val="000000"/>
          <w:lang w:val="el-GR"/>
        </w:rPr>
        <w:t xml:space="preserve">ank μπορούν να γίνουν δωρεάν συνδρομητές και να αποκτήσουν κωδικούς πρόσβασης μέσω του </w:t>
      </w:r>
      <w:r w:rsidRPr="004C1C17">
        <w:rPr>
          <w:rFonts w:ascii="Arial" w:eastAsia="Arial" w:hAnsi="Arial"/>
          <w:color w:val="000000"/>
        </w:rPr>
        <w:t>Internet</w:t>
      </w:r>
      <w:r w:rsidRPr="004C1C17">
        <w:rPr>
          <w:rFonts w:ascii="Arial" w:eastAsia="Arial" w:hAnsi="Arial"/>
          <w:color w:val="000000"/>
          <w:lang w:val="el-GR"/>
        </w:rPr>
        <w:t xml:space="preserve"> </w:t>
      </w:r>
      <w:r w:rsidRPr="004C1C17">
        <w:rPr>
          <w:rFonts w:ascii="Arial" w:eastAsia="Arial" w:hAnsi="Arial"/>
          <w:color w:val="000000"/>
        </w:rPr>
        <w:t>Banking</w:t>
      </w:r>
      <w:r w:rsidRPr="004C1C17">
        <w:rPr>
          <w:rFonts w:ascii="Arial" w:eastAsia="Arial" w:hAnsi="Arial"/>
          <w:color w:val="000000"/>
          <w:lang w:val="el-GR"/>
        </w:rPr>
        <w:t xml:space="preserve"> ή του </w:t>
      </w:r>
      <w:r w:rsidRPr="004C1C17">
        <w:rPr>
          <w:rFonts w:ascii="Arial" w:eastAsia="Arial" w:hAnsi="Arial"/>
          <w:color w:val="000000"/>
        </w:rPr>
        <w:t>BoC</w:t>
      </w:r>
      <w:r w:rsidRPr="004C1C17">
        <w:rPr>
          <w:rFonts w:ascii="Arial" w:eastAsia="Arial" w:hAnsi="Arial"/>
          <w:color w:val="000000"/>
          <w:lang w:val="el-GR"/>
        </w:rPr>
        <w:t xml:space="preserve"> </w:t>
      </w:r>
      <w:r w:rsidRPr="004C1C17">
        <w:rPr>
          <w:rFonts w:ascii="Arial" w:eastAsia="Arial" w:hAnsi="Arial"/>
          <w:color w:val="000000"/>
        </w:rPr>
        <w:t>Mobile</w:t>
      </w:r>
      <w:r w:rsidRPr="004C1C17">
        <w:rPr>
          <w:rFonts w:ascii="Arial" w:eastAsia="Arial" w:hAnsi="Arial"/>
          <w:color w:val="000000"/>
          <w:lang w:val="el-GR"/>
        </w:rPr>
        <w:t xml:space="preserve"> </w:t>
      </w:r>
      <w:r w:rsidRPr="004C1C17">
        <w:rPr>
          <w:rFonts w:ascii="Arial" w:eastAsia="Arial" w:hAnsi="Arial"/>
          <w:color w:val="000000"/>
        </w:rPr>
        <w:t>app</w:t>
      </w:r>
      <w:r w:rsidRPr="004C1C17">
        <w:rPr>
          <w:rFonts w:ascii="Arial" w:eastAsia="Arial" w:hAnsi="Arial"/>
          <w:color w:val="000000"/>
          <w:lang w:val="el-GR"/>
        </w:rPr>
        <w:t xml:space="preserve"> και ακολούθως να υποβάλουν τις οδηγίες τους σύμφωνα με το σημείο (i) πιο πάνω.</w:t>
      </w:r>
    </w:p>
    <w:p w14:paraId="62656EF5" w14:textId="77777777" w:rsidR="004C1C17" w:rsidRPr="008E0F8F" w:rsidRDefault="004C1C17" w:rsidP="004C1C17">
      <w:pPr>
        <w:pStyle w:val="ListParagraph"/>
        <w:tabs>
          <w:tab w:val="left" w:pos="720"/>
        </w:tabs>
        <w:spacing w:before="14" w:after="0" w:line="240" w:lineRule="auto"/>
        <w:ind w:left="1440" w:right="74"/>
        <w:jc w:val="both"/>
        <w:textAlignment w:val="baseline"/>
        <w:rPr>
          <w:rFonts w:ascii="Arial" w:eastAsia="Arial" w:hAnsi="Arial"/>
          <w:color w:val="000000"/>
          <w:lang w:val="el-GR"/>
        </w:rPr>
      </w:pPr>
    </w:p>
    <w:p w14:paraId="78B90A5E" w14:textId="2F63C9AB" w:rsidR="00CE2447" w:rsidRPr="004C1C17" w:rsidRDefault="00CE2447" w:rsidP="00EB0C79">
      <w:pPr>
        <w:tabs>
          <w:tab w:val="left" w:pos="720"/>
        </w:tabs>
        <w:spacing w:before="14" w:after="0" w:line="275" w:lineRule="exact"/>
        <w:ind w:left="993" w:right="74" w:hanging="426"/>
        <w:jc w:val="both"/>
        <w:textAlignment w:val="baseline"/>
        <w:rPr>
          <w:rFonts w:ascii="Arial" w:eastAsia="Arial" w:hAnsi="Arial"/>
          <w:color w:val="000000"/>
          <w:lang w:val="el-GR"/>
        </w:rPr>
      </w:pPr>
      <w:r w:rsidRPr="00CE2447">
        <w:rPr>
          <w:rFonts w:ascii="Arial" w:eastAsia="Arial" w:hAnsi="Arial"/>
          <w:color w:val="000000"/>
          <w:lang w:val="el-GR"/>
        </w:rPr>
        <w:t>(</w:t>
      </w:r>
      <w:r>
        <w:rPr>
          <w:rFonts w:ascii="Arial" w:eastAsia="Arial" w:hAnsi="Arial"/>
          <w:color w:val="000000"/>
          <w:lang w:val="el-GR"/>
        </w:rPr>
        <w:t>γ</w:t>
      </w:r>
      <w:r w:rsidRPr="00CE2447">
        <w:rPr>
          <w:rFonts w:ascii="Arial" w:eastAsia="Arial" w:hAnsi="Arial"/>
          <w:color w:val="000000"/>
          <w:lang w:val="el-GR"/>
        </w:rPr>
        <w:t xml:space="preserve">) Μέτοχοι ΧΑΚ που είναι νομικά πρόσωπα ή πρόσωπα που κατέχουν μετοχές της Εταιρίας σε κοινό λογαριασμό στο ΚΑΜ και είναι πελάτες της Τράπεζας Κύπρου, μπορούν να υποβάλουν τις οδηγίες τους γραπτώς, συμπληρώνοντας τo σχετικό έντυπο εξουσιοδότησης, το οποίο είναι αναρτημένο </w:t>
      </w:r>
      <w:hyperlink r:id="rId10" w:history="1">
        <w:r w:rsidRPr="00CE2447">
          <w:rPr>
            <w:rStyle w:val="Hyperlink"/>
            <w:rFonts w:ascii="Arial" w:eastAsia="Arial" w:hAnsi="Arial"/>
            <w:lang w:val="el-GR"/>
          </w:rPr>
          <w:t>εδώ</w:t>
        </w:r>
      </w:hyperlink>
      <w:r w:rsidRPr="00CE2447">
        <w:rPr>
          <w:rFonts w:ascii="Arial" w:eastAsia="Arial" w:hAnsi="Arial"/>
          <w:color w:val="000000"/>
          <w:lang w:val="el-GR"/>
        </w:rPr>
        <w:t>, σύμφωνα με τις οδηγίες που αναγράφονται στο έντυπο.</w:t>
      </w:r>
    </w:p>
    <w:p w14:paraId="6193C9BE" w14:textId="77777777" w:rsidR="004C1C17" w:rsidRPr="00CE2447" w:rsidRDefault="004C1C17" w:rsidP="00EB0C79">
      <w:pPr>
        <w:tabs>
          <w:tab w:val="left" w:pos="720"/>
        </w:tabs>
        <w:spacing w:before="14" w:after="0" w:line="275" w:lineRule="exact"/>
        <w:ind w:left="993" w:right="74" w:hanging="426"/>
        <w:jc w:val="both"/>
        <w:textAlignment w:val="baseline"/>
        <w:rPr>
          <w:rFonts w:ascii="Arial" w:eastAsia="Arial" w:hAnsi="Arial"/>
          <w:color w:val="000000"/>
          <w:lang w:val="el-GR"/>
        </w:rPr>
      </w:pPr>
    </w:p>
    <w:p w14:paraId="41D73015" w14:textId="6A727851" w:rsidR="00CE2447" w:rsidRDefault="00CE2447" w:rsidP="00EB0C79">
      <w:pPr>
        <w:tabs>
          <w:tab w:val="left" w:pos="720"/>
        </w:tabs>
        <w:spacing w:before="14" w:after="0" w:line="275" w:lineRule="exact"/>
        <w:ind w:left="993" w:right="74" w:hanging="426"/>
        <w:jc w:val="both"/>
        <w:textAlignment w:val="baseline"/>
        <w:rPr>
          <w:rFonts w:ascii="Arial" w:eastAsia="Arial" w:hAnsi="Arial"/>
          <w:color w:val="000000"/>
          <w:lang w:val="el-GR"/>
        </w:rPr>
      </w:pPr>
      <w:r w:rsidRPr="00CE2447">
        <w:rPr>
          <w:rFonts w:ascii="Arial" w:eastAsia="Arial" w:hAnsi="Arial"/>
          <w:color w:val="000000"/>
          <w:lang w:val="el-GR"/>
        </w:rPr>
        <w:t>(</w:t>
      </w:r>
      <w:r w:rsidR="004C1C17">
        <w:rPr>
          <w:rFonts w:ascii="Arial" w:eastAsia="Arial" w:hAnsi="Arial"/>
          <w:color w:val="000000"/>
          <w:lang w:val="el-GR"/>
        </w:rPr>
        <w:t>δ</w:t>
      </w:r>
      <w:r w:rsidRPr="00CE2447">
        <w:rPr>
          <w:rFonts w:ascii="Arial" w:eastAsia="Arial" w:hAnsi="Arial"/>
          <w:color w:val="000000"/>
          <w:lang w:val="el-GR"/>
        </w:rPr>
        <w:t xml:space="preserve">) Μέτοχοι ΧΑΚ που επιθυμούν να λαμβάνουν τα μερίσματά τους με ηλεκτρονική μεταφορά σε άλλα χρηματοπιστωτικά ιδρύματα, μπορούν να υποβάλουν τις οδηγίες τους γραπτώς υποβάλλοντας το σχετικό έντυπο εξουσιοδότησης, το οποίο είναι αναρτημένο </w:t>
      </w:r>
      <w:hyperlink r:id="rId11" w:history="1">
        <w:r w:rsidRPr="00CE2447">
          <w:rPr>
            <w:rStyle w:val="Hyperlink"/>
            <w:rFonts w:ascii="Arial" w:eastAsia="Arial" w:hAnsi="Arial"/>
            <w:lang w:val="el-GR"/>
          </w:rPr>
          <w:t>εδώ</w:t>
        </w:r>
      </w:hyperlink>
      <w:r w:rsidRPr="00CE2447">
        <w:rPr>
          <w:rFonts w:ascii="Arial" w:eastAsia="Arial" w:hAnsi="Arial"/>
          <w:color w:val="000000"/>
          <w:u w:val="single"/>
          <w:lang w:val="el-GR"/>
        </w:rPr>
        <w:t>,</w:t>
      </w:r>
      <w:r w:rsidRPr="00CE2447">
        <w:rPr>
          <w:rFonts w:ascii="Arial" w:eastAsia="Arial" w:hAnsi="Arial"/>
          <w:color w:val="000000"/>
          <w:lang w:val="el-GR"/>
        </w:rPr>
        <w:t xml:space="preserve"> σύμφωνα με τις οδηγίες που αναγράφονται σε αυτό. </w:t>
      </w:r>
    </w:p>
    <w:p w14:paraId="7DFDE541" w14:textId="77777777" w:rsidR="004C1C17" w:rsidRPr="00CE2447" w:rsidRDefault="004C1C17" w:rsidP="004C1C17">
      <w:pPr>
        <w:tabs>
          <w:tab w:val="left" w:pos="720"/>
        </w:tabs>
        <w:spacing w:before="14" w:after="0" w:line="275" w:lineRule="exact"/>
        <w:ind w:right="74"/>
        <w:jc w:val="both"/>
        <w:textAlignment w:val="baseline"/>
        <w:rPr>
          <w:rFonts w:ascii="Arial" w:eastAsia="Arial" w:hAnsi="Arial"/>
          <w:color w:val="000000"/>
          <w:lang w:val="el-GR"/>
        </w:rPr>
      </w:pPr>
    </w:p>
    <w:p w14:paraId="77567815" w14:textId="5692D1AB" w:rsidR="00BE4A3B" w:rsidRPr="00E9001A" w:rsidRDefault="00BE4A3B" w:rsidP="00E42D30">
      <w:pPr>
        <w:numPr>
          <w:ilvl w:val="0"/>
          <w:numId w:val="26"/>
        </w:numPr>
        <w:tabs>
          <w:tab w:val="clear" w:pos="360"/>
        </w:tabs>
        <w:spacing w:before="14" w:after="448" w:line="275" w:lineRule="exact"/>
        <w:ind w:left="567" w:right="72" w:hanging="567"/>
        <w:jc w:val="both"/>
        <w:textAlignment w:val="baseline"/>
        <w:rPr>
          <w:rFonts w:ascii="Arial" w:eastAsia="Arial" w:hAnsi="Arial"/>
          <w:color w:val="000000"/>
          <w:lang w:val="el-GR"/>
        </w:rPr>
      </w:pPr>
      <w:r w:rsidRPr="00E9001A">
        <w:rPr>
          <w:rFonts w:ascii="Arial" w:eastAsia="Arial" w:hAnsi="Arial"/>
          <w:color w:val="000000"/>
          <w:lang w:val="el-GR"/>
        </w:rPr>
        <w:t>Για τα πρόσωπα που κατέχουν τα δικαιώματά τους επί των Συνήθων Μετοχών έμμεσα στην εταιρία Ελληνικό Κεντρικό Αποθετήριο Τίτλων Α.Ε.</w:t>
      </w:r>
      <w:r w:rsidRPr="00E42D30">
        <w:rPr>
          <w:rFonts w:ascii="Arial" w:eastAsia="Arial" w:hAnsi="Arial"/>
          <w:color w:val="000000"/>
          <w:lang w:val="el-GR"/>
        </w:rPr>
        <w:t xml:space="preserve"> </w:t>
      </w:r>
      <w:r w:rsidRPr="00E9001A">
        <w:rPr>
          <w:rFonts w:ascii="Arial" w:eastAsia="Arial" w:hAnsi="Arial"/>
          <w:color w:val="000000"/>
          <w:lang w:val="el-GR"/>
        </w:rPr>
        <w:t xml:space="preserve">(η </w:t>
      </w:r>
      <w:r>
        <w:rPr>
          <w:rFonts w:ascii="Arial" w:eastAsia="Arial" w:hAnsi="Arial"/>
          <w:color w:val="000000"/>
          <w:lang w:val="el-GR"/>
        </w:rPr>
        <w:t>‘</w:t>
      </w:r>
      <w:r w:rsidRPr="00E42D30">
        <w:rPr>
          <w:rFonts w:ascii="Arial" w:eastAsia="Arial" w:hAnsi="Arial"/>
          <w:b/>
          <w:bCs/>
          <w:color w:val="000000"/>
          <w:lang w:val="el-GR"/>
        </w:rPr>
        <w:t>ΕΛΚΑΤ</w:t>
      </w:r>
      <w:r>
        <w:rPr>
          <w:rFonts w:ascii="Arial" w:eastAsia="Arial" w:hAnsi="Arial"/>
          <w:color w:val="000000"/>
          <w:lang w:val="el-GR"/>
        </w:rPr>
        <w:t>’</w:t>
      </w:r>
      <w:r w:rsidRPr="00E9001A">
        <w:rPr>
          <w:rFonts w:ascii="Arial" w:eastAsia="Arial" w:hAnsi="Arial"/>
          <w:color w:val="000000"/>
          <w:lang w:val="el-GR"/>
        </w:rPr>
        <w:t xml:space="preserve">) και οι οποίες διαπραγματεύονται στην Κύρια Αγορά της Ρυθμιζόμενης Αγοράς Αξιών του Χρηματιστηρίου Αθηνών (οι </w:t>
      </w:r>
      <w:r>
        <w:rPr>
          <w:rFonts w:ascii="Arial" w:eastAsia="Arial" w:hAnsi="Arial"/>
          <w:color w:val="000000"/>
          <w:lang w:val="el-GR"/>
        </w:rPr>
        <w:t>‘</w:t>
      </w:r>
      <w:r w:rsidRPr="00E42D30">
        <w:rPr>
          <w:rFonts w:ascii="Arial" w:eastAsia="Arial" w:hAnsi="Arial"/>
          <w:b/>
          <w:bCs/>
          <w:color w:val="000000"/>
          <w:lang w:val="el-GR"/>
        </w:rPr>
        <w:t>Μέτοχοι ΕΛΚΑΤ’</w:t>
      </w:r>
      <w:r w:rsidRPr="00E9001A">
        <w:rPr>
          <w:rFonts w:ascii="Arial" w:eastAsia="Arial" w:hAnsi="Arial"/>
          <w:color w:val="000000"/>
          <w:lang w:val="el-GR"/>
        </w:rPr>
        <w:t xml:space="preserve">), η </w:t>
      </w:r>
      <w:r>
        <w:rPr>
          <w:rFonts w:ascii="Arial" w:eastAsia="Arial" w:hAnsi="Arial"/>
          <w:color w:val="000000"/>
          <w:lang w:val="el-GR"/>
        </w:rPr>
        <w:t>κ</w:t>
      </w:r>
      <w:r w:rsidRPr="00E9001A">
        <w:rPr>
          <w:rFonts w:ascii="Arial" w:eastAsia="Arial" w:hAnsi="Arial"/>
          <w:color w:val="000000"/>
          <w:lang w:val="el-GR"/>
        </w:rPr>
        <w:t>αταβολή</w:t>
      </w:r>
      <w:r>
        <w:rPr>
          <w:rFonts w:ascii="Arial" w:eastAsia="Arial" w:hAnsi="Arial"/>
          <w:color w:val="000000"/>
          <w:lang w:val="el-GR"/>
        </w:rPr>
        <w:t xml:space="preserve"> Ενδιάμεσου</w:t>
      </w:r>
      <w:r w:rsidRPr="00E9001A">
        <w:rPr>
          <w:rFonts w:ascii="Arial" w:eastAsia="Arial" w:hAnsi="Arial"/>
          <w:color w:val="000000"/>
          <w:lang w:val="el-GR"/>
        </w:rPr>
        <w:t xml:space="preserve"> Μερίσματος θα πραγματοποιηθεί μέσω των συμμετεχόντων τους στο σύστημα άυλων τίτλων που διαχειρίζεται η ΕΛΚΑΤ (οι </w:t>
      </w:r>
      <w:r w:rsidR="00D152CE">
        <w:rPr>
          <w:rFonts w:ascii="Arial" w:eastAsia="Arial" w:hAnsi="Arial"/>
          <w:color w:val="000000"/>
          <w:lang w:val="el-GR"/>
        </w:rPr>
        <w:t>‘</w:t>
      </w:r>
      <w:r w:rsidRPr="00E42D30">
        <w:rPr>
          <w:rFonts w:ascii="Arial" w:eastAsia="Arial" w:hAnsi="Arial"/>
          <w:b/>
          <w:bCs/>
          <w:color w:val="000000"/>
          <w:lang w:val="el-GR"/>
        </w:rPr>
        <w:t>Συμμετέχοντες ΕΛΚΑΤ</w:t>
      </w:r>
      <w:r w:rsidR="00D152CE">
        <w:rPr>
          <w:rFonts w:ascii="Arial" w:eastAsia="Arial" w:hAnsi="Arial"/>
          <w:color w:val="000000"/>
          <w:lang w:val="el-GR"/>
        </w:rPr>
        <w:t>’</w:t>
      </w:r>
      <w:r w:rsidRPr="00E9001A">
        <w:rPr>
          <w:rFonts w:ascii="Arial" w:eastAsia="Arial" w:hAnsi="Arial"/>
          <w:color w:val="000000"/>
          <w:lang w:val="el-GR"/>
        </w:rPr>
        <w:t xml:space="preserve">), μετά την καταβολή του μικτού ποσού του </w:t>
      </w:r>
      <w:r w:rsidR="00D152CE">
        <w:rPr>
          <w:rFonts w:ascii="Arial" w:eastAsia="Arial" w:hAnsi="Arial"/>
          <w:color w:val="000000"/>
          <w:lang w:val="el-GR"/>
        </w:rPr>
        <w:t xml:space="preserve">Ενδιάμεσου </w:t>
      </w:r>
      <w:r w:rsidRPr="00E9001A">
        <w:rPr>
          <w:rFonts w:ascii="Arial" w:eastAsia="Arial" w:hAnsi="Arial"/>
          <w:color w:val="000000"/>
          <w:lang w:val="el-GR"/>
        </w:rPr>
        <w:t xml:space="preserve">Μερίσματος από την ΕΛΚΑΤ στον αντίστοιχο Συμμετέχοντα ΕΛΚΑΤ. Η </w:t>
      </w:r>
      <w:r w:rsidRPr="00E42D30">
        <w:rPr>
          <w:rFonts w:ascii="Arial" w:eastAsia="Arial" w:hAnsi="Arial"/>
          <w:color w:val="000000"/>
          <w:lang w:val="el-GR"/>
        </w:rPr>
        <w:t>Euroclear</w:t>
      </w:r>
      <w:r w:rsidRPr="00E9001A">
        <w:rPr>
          <w:rFonts w:ascii="Arial" w:eastAsia="Arial" w:hAnsi="Arial"/>
          <w:color w:val="000000"/>
          <w:lang w:val="el-GR"/>
        </w:rPr>
        <w:t xml:space="preserve"> </w:t>
      </w:r>
      <w:r w:rsidRPr="00E42D30">
        <w:rPr>
          <w:rFonts w:ascii="Arial" w:eastAsia="Arial" w:hAnsi="Arial"/>
          <w:color w:val="000000"/>
          <w:lang w:val="el-GR"/>
        </w:rPr>
        <w:t>Bank</w:t>
      </w:r>
      <w:r w:rsidRPr="00E9001A">
        <w:rPr>
          <w:rFonts w:ascii="Arial" w:eastAsia="Arial" w:hAnsi="Arial"/>
          <w:color w:val="000000"/>
          <w:lang w:val="el-GR"/>
        </w:rPr>
        <w:t xml:space="preserve"> θα ενεργεί ως πληρώτρια για την καταβολή του </w:t>
      </w:r>
      <w:r w:rsidR="00D152CE">
        <w:rPr>
          <w:rFonts w:ascii="Arial" w:eastAsia="Arial" w:hAnsi="Arial"/>
          <w:color w:val="000000"/>
          <w:lang w:val="el-GR"/>
        </w:rPr>
        <w:t xml:space="preserve">Ενδιάμεσου </w:t>
      </w:r>
      <w:r w:rsidRPr="00E9001A">
        <w:rPr>
          <w:rFonts w:ascii="Arial" w:eastAsia="Arial" w:hAnsi="Arial"/>
          <w:color w:val="000000"/>
          <w:lang w:val="el-GR"/>
        </w:rPr>
        <w:t>Μερίσματος στους Μετόχους ΕΛΚΑΤ.</w:t>
      </w:r>
    </w:p>
    <w:p w14:paraId="4B49B72A" w14:textId="1C46B106" w:rsidR="00BE4A3B" w:rsidRPr="00E9001A" w:rsidRDefault="00BE4A3B" w:rsidP="00E42D30">
      <w:pPr>
        <w:numPr>
          <w:ilvl w:val="0"/>
          <w:numId w:val="26"/>
        </w:numPr>
        <w:tabs>
          <w:tab w:val="clear" w:pos="360"/>
        </w:tabs>
        <w:spacing w:before="14" w:after="448" w:line="275" w:lineRule="exact"/>
        <w:ind w:left="567" w:right="72" w:hanging="567"/>
        <w:jc w:val="both"/>
        <w:textAlignment w:val="baseline"/>
        <w:rPr>
          <w:rFonts w:ascii="Arial" w:eastAsia="Arial" w:hAnsi="Arial"/>
          <w:color w:val="000000"/>
          <w:lang w:val="el-GR"/>
        </w:rPr>
      </w:pPr>
      <w:r w:rsidRPr="00E9001A">
        <w:rPr>
          <w:rFonts w:ascii="Arial" w:eastAsia="Arial" w:hAnsi="Arial"/>
          <w:color w:val="000000"/>
          <w:lang w:val="el-GR"/>
        </w:rPr>
        <w:t xml:space="preserve">Για τα πρόσωπα που κατέχουν τα δικαιώματά τους επί των Συνήθων Μετοχών έμμεσα μέσω του συστήματος της </w:t>
      </w:r>
      <w:r w:rsidRPr="00E42D30">
        <w:rPr>
          <w:rFonts w:ascii="Arial" w:eastAsia="Arial" w:hAnsi="Arial"/>
          <w:color w:val="000000"/>
          <w:lang w:val="el-GR"/>
        </w:rPr>
        <w:t>Euroclear</w:t>
      </w:r>
      <w:r w:rsidRPr="00E9001A">
        <w:rPr>
          <w:rFonts w:ascii="Arial" w:eastAsia="Arial" w:hAnsi="Arial"/>
          <w:color w:val="000000"/>
          <w:lang w:val="el-GR"/>
        </w:rPr>
        <w:t xml:space="preserve"> </w:t>
      </w:r>
      <w:r w:rsidRPr="00E42D30">
        <w:rPr>
          <w:rFonts w:ascii="Arial" w:eastAsia="Arial" w:hAnsi="Arial"/>
          <w:color w:val="000000"/>
          <w:lang w:val="el-GR"/>
        </w:rPr>
        <w:t>Bank</w:t>
      </w:r>
      <w:r w:rsidRPr="00E9001A">
        <w:rPr>
          <w:rFonts w:ascii="Arial" w:eastAsia="Arial" w:hAnsi="Arial"/>
          <w:color w:val="000000"/>
          <w:lang w:val="el-GR"/>
        </w:rPr>
        <w:t xml:space="preserve"> (το </w:t>
      </w:r>
      <w:r w:rsidR="00D152CE">
        <w:rPr>
          <w:rFonts w:ascii="Arial" w:eastAsia="Arial" w:hAnsi="Arial"/>
          <w:color w:val="000000"/>
          <w:lang w:val="el-GR"/>
        </w:rPr>
        <w:t>‘</w:t>
      </w:r>
      <w:r w:rsidRPr="00E42D30">
        <w:rPr>
          <w:rFonts w:ascii="Arial" w:eastAsia="Arial" w:hAnsi="Arial"/>
          <w:b/>
          <w:bCs/>
          <w:color w:val="000000"/>
          <w:lang w:val="el-GR"/>
        </w:rPr>
        <w:t>Σύστημα Euroclear</w:t>
      </w:r>
      <w:r w:rsidR="00D152CE">
        <w:rPr>
          <w:rFonts w:ascii="Arial" w:eastAsia="Arial" w:hAnsi="Arial"/>
          <w:color w:val="000000"/>
          <w:lang w:val="el-GR"/>
        </w:rPr>
        <w:t>’</w:t>
      </w:r>
      <w:r w:rsidRPr="00E9001A">
        <w:rPr>
          <w:rFonts w:ascii="Arial" w:eastAsia="Arial" w:hAnsi="Arial"/>
          <w:color w:val="000000"/>
          <w:lang w:val="el-GR"/>
        </w:rPr>
        <w:t xml:space="preserve">) ως Παραστατικά Δικαιώματα </w:t>
      </w:r>
      <w:r w:rsidRPr="00E42D30">
        <w:rPr>
          <w:rFonts w:ascii="Arial" w:eastAsia="Arial" w:hAnsi="Arial"/>
          <w:color w:val="000000"/>
          <w:lang w:val="el-GR"/>
        </w:rPr>
        <w:t>CREST</w:t>
      </w:r>
      <w:r w:rsidRPr="00E9001A">
        <w:rPr>
          <w:rFonts w:ascii="Arial" w:eastAsia="Arial" w:hAnsi="Arial"/>
          <w:color w:val="000000"/>
          <w:lang w:val="el-GR"/>
        </w:rPr>
        <w:t xml:space="preserve"> που εκδίδονται στ</w:t>
      </w:r>
      <w:r w:rsidRPr="00E42D30">
        <w:rPr>
          <w:rFonts w:ascii="Arial" w:eastAsia="Arial" w:hAnsi="Arial"/>
          <w:color w:val="000000"/>
          <w:lang w:val="el-GR"/>
        </w:rPr>
        <w:t>o</w:t>
      </w:r>
      <w:r w:rsidRPr="00E9001A">
        <w:rPr>
          <w:rFonts w:ascii="Arial" w:eastAsia="Arial" w:hAnsi="Arial"/>
          <w:color w:val="000000"/>
          <w:lang w:val="el-GR"/>
        </w:rPr>
        <w:t xml:space="preserve"> </w:t>
      </w:r>
      <w:r w:rsidRPr="00E42D30">
        <w:rPr>
          <w:rFonts w:ascii="Arial" w:eastAsia="Arial" w:hAnsi="Arial"/>
          <w:color w:val="000000"/>
          <w:lang w:val="el-GR"/>
        </w:rPr>
        <w:t>CREST</w:t>
      </w:r>
      <w:r w:rsidRPr="00E9001A">
        <w:rPr>
          <w:rFonts w:ascii="Arial" w:eastAsia="Arial" w:hAnsi="Arial"/>
          <w:color w:val="000000"/>
          <w:lang w:val="el-GR"/>
        </w:rPr>
        <w:t xml:space="preserve"> (</w:t>
      </w:r>
      <w:r w:rsidR="00D152CE">
        <w:rPr>
          <w:rFonts w:ascii="Arial" w:eastAsia="Arial" w:hAnsi="Arial"/>
          <w:color w:val="000000"/>
          <w:lang w:val="el-GR"/>
        </w:rPr>
        <w:t>‘</w:t>
      </w:r>
      <w:r w:rsidRPr="00E42D30">
        <w:rPr>
          <w:rFonts w:ascii="Arial" w:eastAsia="Arial" w:hAnsi="Arial"/>
          <w:b/>
          <w:bCs/>
          <w:color w:val="000000"/>
          <w:lang w:val="el-GR"/>
        </w:rPr>
        <w:t>Κάτοχοι CREST</w:t>
      </w:r>
      <w:r w:rsidR="00D152CE">
        <w:rPr>
          <w:rFonts w:ascii="Arial" w:eastAsia="Arial" w:hAnsi="Arial"/>
          <w:color w:val="000000"/>
          <w:lang w:val="el-GR"/>
        </w:rPr>
        <w:t>’</w:t>
      </w:r>
      <w:r w:rsidRPr="00E9001A">
        <w:rPr>
          <w:rFonts w:ascii="Arial" w:eastAsia="Arial" w:hAnsi="Arial"/>
          <w:color w:val="000000"/>
          <w:lang w:val="el-GR"/>
        </w:rPr>
        <w:t xml:space="preserve">), η </w:t>
      </w:r>
      <w:r w:rsidR="00D152CE">
        <w:rPr>
          <w:rFonts w:ascii="Arial" w:eastAsia="Arial" w:hAnsi="Arial"/>
          <w:color w:val="000000"/>
          <w:lang w:val="el-GR"/>
        </w:rPr>
        <w:lastRenderedPageBreak/>
        <w:t>κ</w:t>
      </w:r>
      <w:r w:rsidRPr="00E9001A">
        <w:rPr>
          <w:rFonts w:ascii="Arial" w:eastAsia="Arial" w:hAnsi="Arial"/>
          <w:color w:val="000000"/>
          <w:lang w:val="el-GR"/>
        </w:rPr>
        <w:t xml:space="preserve">αταβολή </w:t>
      </w:r>
      <w:r w:rsidR="00D152CE">
        <w:rPr>
          <w:rFonts w:ascii="Arial" w:eastAsia="Arial" w:hAnsi="Arial"/>
          <w:color w:val="000000"/>
          <w:lang w:val="el-GR"/>
        </w:rPr>
        <w:t xml:space="preserve">Ενδιάμεσου </w:t>
      </w:r>
      <w:r w:rsidRPr="00E9001A">
        <w:rPr>
          <w:rFonts w:ascii="Arial" w:eastAsia="Arial" w:hAnsi="Arial"/>
          <w:color w:val="000000"/>
          <w:lang w:val="el-GR"/>
        </w:rPr>
        <w:t xml:space="preserve">Μερίσματος θα πραγματοποιηθεί στον σχετικό λογαριασμό του συμμετέχοντα τους στο </w:t>
      </w:r>
      <w:r w:rsidRPr="00E42D30">
        <w:rPr>
          <w:rFonts w:ascii="Arial" w:eastAsia="Arial" w:hAnsi="Arial"/>
          <w:color w:val="000000"/>
          <w:lang w:val="el-GR"/>
        </w:rPr>
        <w:t>CREST</w:t>
      </w:r>
      <w:r w:rsidRPr="00E9001A">
        <w:rPr>
          <w:rFonts w:ascii="Arial" w:eastAsia="Arial" w:hAnsi="Arial"/>
          <w:color w:val="000000"/>
          <w:lang w:val="el-GR"/>
        </w:rPr>
        <w:t xml:space="preserve"> στο Σύστημα </w:t>
      </w:r>
      <w:r w:rsidRPr="00E42D30">
        <w:rPr>
          <w:rFonts w:ascii="Arial" w:eastAsia="Arial" w:hAnsi="Arial"/>
          <w:color w:val="000000"/>
          <w:lang w:val="el-GR"/>
        </w:rPr>
        <w:t>Euroclear</w:t>
      </w:r>
      <w:r w:rsidRPr="00E9001A">
        <w:rPr>
          <w:rFonts w:ascii="Arial" w:eastAsia="Arial" w:hAnsi="Arial"/>
          <w:color w:val="000000"/>
          <w:lang w:val="el-GR"/>
        </w:rPr>
        <w:t xml:space="preserve">. Η </w:t>
      </w:r>
      <w:r w:rsidRPr="00E42D30">
        <w:rPr>
          <w:rFonts w:ascii="Arial" w:eastAsia="Arial" w:hAnsi="Arial"/>
          <w:color w:val="000000"/>
          <w:lang w:val="el-GR"/>
        </w:rPr>
        <w:t>Euroclear</w:t>
      </w:r>
      <w:r w:rsidRPr="00E9001A">
        <w:rPr>
          <w:rFonts w:ascii="Arial" w:eastAsia="Arial" w:hAnsi="Arial"/>
          <w:color w:val="000000"/>
          <w:lang w:val="el-GR"/>
        </w:rPr>
        <w:t xml:space="preserve"> </w:t>
      </w:r>
      <w:r w:rsidRPr="00E42D30">
        <w:rPr>
          <w:rFonts w:ascii="Arial" w:eastAsia="Arial" w:hAnsi="Arial"/>
          <w:color w:val="000000"/>
          <w:lang w:val="el-GR"/>
        </w:rPr>
        <w:t>Bank</w:t>
      </w:r>
      <w:r w:rsidRPr="00E9001A">
        <w:rPr>
          <w:rFonts w:ascii="Arial" w:eastAsia="Arial" w:hAnsi="Arial"/>
          <w:color w:val="000000"/>
          <w:lang w:val="el-GR"/>
        </w:rPr>
        <w:t xml:space="preserve"> θα ενεργεί ως πληρώτρια για την καταβολή του </w:t>
      </w:r>
      <w:r w:rsidR="00D152CE">
        <w:rPr>
          <w:rFonts w:ascii="Arial" w:eastAsia="Arial" w:hAnsi="Arial"/>
          <w:color w:val="000000"/>
          <w:lang w:val="el-GR"/>
        </w:rPr>
        <w:t xml:space="preserve">Ενδιάμεσου </w:t>
      </w:r>
      <w:r w:rsidRPr="00E9001A">
        <w:rPr>
          <w:rFonts w:ascii="Arial" w:eastAsia="Arial" w:hAnsi="Arial"/>
          <w:color w:val="000000"/>
          <w:lang w:val="el-GR"/>
        </w:rPr>
        <w:t>Μερίσματος στους Κατόχους CREST.</w:t>
      </w:r>
    </w:p>
    <w:p w14:paraId="6919D442" w14:textId="326997E6" w:rsidR="00D152CE" w:rsidRPr="00D152CE" w:rsidRDefault="00BE4A3B" w:rsidP="00E42D30">
      <w:pPr>
        <w:numPr>
          <w:ilvl w:val="0"/>
          <w:numId w:val="26"/>
        </w:numPr>
        <w:tabs>
          <w:tab w:val="clear" w:pos="360"/>
        </w:tabs>
        <w:spacing w:before="14" w:after="448" w:line="275" w:lineRule="exact"/>
        <w:ind w:left="567" w:right="72" w:hanging="567"/>
        <w:jc w:val="both"/>
        <w:textAlignment w:val="baseline"/>
        <w:rPr>
          <w:rFonts w:ascii="Arial" w:eastAsia="Arial" w:hAnsi="Arial"/>
          <w:color w:val="000000"/>
          <w:lang w:val="el-GR"/>
        </w:rPr>
      </w:pPr>
      <w:r w:rsidRPr="00E9001A">
        <w:rPr>
          <w:rFonts w:ascii="Arial" w:eastAsia="Arial" w:hAnsi="Arial"/>
          <w:color w:val="000000"/>
          <w:lang w:val="el-GR"/>
        </w:rPr>
        <w:t xml:space="preserve">Για τα πρόσωπα που κατέχουν τα δικαιώματά τους επί των Συνήθων Μετοχών μέσω του Συστήματος </w:t>
      </w:r>
      <w:r w:rsidRPr="00E42D30">
        <w:rPr>
          <w:rFonts w:ascii="Arial" w:eastAsia="Arial" w:hAnsi="Arial"/>
          <w:color w:val="000000"/>
          <w:lang w:val="el-GR"/>
        </w:rPr>
        <w:t>Euroclear</w:t>
      </w:r>
      <w:r w:rsidRPr="00E9001A">
        <w:rPr>
          <w:rFonts w:ascii="Arial" w:eastAsia="Arial" w:hAnsi="Arial"/>
          <w:color w:val="000000"/>
          <w:lang w:val="el-GR"/>
        </w:rPr>
        <w:t>, εξαιρουμένων των Κατόχων</w:t>
      </w:r>
      <w:r w:rsidRPr="00E42D30">
        <w:rPr>
          <w:rFonts w:ascii="Arial" w:eastAsia="Arial" w:hAnsi="Arial"/>
          <w:color w:val="000000"/>
          <w:lang w:val="el-GR"/>
        </w:rPr>
        <w:t xml:space="preserve"> </w:t>
      </w:r>
      <w:r w:rsidRPr="00E9001A">
        <w:rPr>
          <w:rFonts w:ascii="Arial" w:eastAsia="Arial" w:hAnsi="Arial"/>
          <w:color w:val="000000"/>
          <w:lang w:val="el-GR"/>
        </w:rPr>
        <w:t xml:space="preserve">CREST, η </w:t>
      </w:r>
      <w:r w:rsidR="00D152CE">
        <w:rPr>
          <w:rFonts w:ascii="Arial" w:eastAsia="Arial" w:hAnsi="Arial"/>
          <w:color w:val="000000"/>
          <w:lang w:val="el-GR"/>
        </w:rPr>
        <w:t>κ</w:t>
      </w:r>
      <w:r w:rsidRPr="00E9001A">
        <w:rPr>
          <w:rFonts w:ascii="Arial" w:eastAsia="Arial" w:hAnsi="Arial"/>
          <w:color w:val="000000"/>
          <w:lang w:val="el-GR"/>
        </w:rPr>
        <w:t xml:space="preserve">αταβολή </w:t>
      </w:r>
      <w:r w:rsidR="00D152CE">
        <w:rPr>
          <w:rFonts w:ascii="Arial" w:eastAsia="Arial" w:hAnsi="Arial"/>
          <w:color w:val="000000"/>
          <w:lang w:val="el-GR"/>
        </w:rPr>
        <w:t xml:space="preserve">Ενδιάμεσου </w:t>
      </w:r>
      <w:r w:rsidRPr="00E9001A">
        <w:rPr>
          <w:rFonts w:ascii="Arial" w:eastAsia="Arial" w:hAnsi="Arial"/>
          <w:color w:val="000000"/>
          <w:lang w:val="el-GR"/>
        </w:rPr>
        <w:t xml:space="preserve">Μερίσματος θα πραγματοποιηθεί στον λογαριασμό του αντίστοιχου συμμετέχοντα τους στην </w:t>
      </w:r>
      <w:r w:rsidRPr="00E42D30">
        <w:rPr>
          <w:rFonts w:ascii="Arial" w:eastAsia="Arial" w:hAnsi="Arial"/>
          <w:color w:val="000000"/>
          <w:lang w:val="el-GR"/>
        </w:rPr>
        <w:t>Euroclear</w:t>
      </w:r>
      <w:r w:rsidRPr="00E9001A">
        <w:rPr>
          <w:rFonts w:ascii="Arial" w:eastAsia="Arial" w:hAnsi="Arial"/>
          <w:color w:val="000000"/>
          <w:lang w:val="el-GR"/>
        </w:rPr>
        <w:t xml:space="preserve"> </w:t>
      </w:r>
      <w:r w:rsidRPr="00E42D30">
        <w:rPr>
          <w:rFonts w:ascii="Arial" w:eastAsia="Arial" w:hAnsi="Arial"/>
          <w:color w:val="000000"/>
          <w:lang w:val="el-GR"/>
        </w:rPr>
        <w:t>Bank</w:t>
      </w:r>
      <w:r w:rsidRPr="00E9001A">
        <w:rPr>
          <w:rFonts w:ascii="Arial" w:eastAsia="Arial" w:hAnsi="Arial"/>
          <w:color w:val="000000"/>
          <w:lang w:val="el-GR"/>
        </w:rPr>
        <w:t xml:space="preserve"> στο Σύστημα </w:t>
      </w:r>
      <w:r w:rsidRPr="00E42D30">
        <w:rPr>
          <w:rFonts w:ascii="Arial" w:eastAsia="Arial" w:hAnsi="Arial"/>
          <w:color w:val="000000"/>
          <w:lang w:val="el-GR"/>
        </w:rPr>
        <w:t>Euroclear</w:t>
      </w:r>
      <w:r w:rsidRPr="00E9001A">
        <w:rPr>
          <w:rFonts w:ascii="Arial" w:eastAsia="Arial" w:hAnsi="Arial"/>
          <w:color w:val="000000"/>
          <w:lang w:val="el-GR"/>
        </w:rPr>
        <w:t xml:space="preserve"> (ο </w:t>
      </w:r>
      <w:r w:rsidR="00D152CE">
        <w:rPr>
          <w:rFonts w:ascii="Arial" w:eastAsia="Arial" w:hAnsi="Arial"/>
          <w:color w:val="000000"/>
          <w:lang w:val="el-GR"/>
        </w:rPr>
        <w:t>‘</w:t>
      </w:r>
      <w:r w:rsidRPr="00E42D30">
        <w:rPr>
          <w:rFonts w:ascii="Arial" w:eastAsia="Arial" w:hAnsi="Arial"/>
          <w:b/>
          <w:bCs/>
          <w:color w:val="000000"/>
          <w:lang w:val="el-GR"/>
        </w:rPr>
        <w:t>Συμμετέχων EB</w:t>
      </w:r>
      <w:r w:rsidR="00D152CE" w:rsidRPr="00E42D30">
        <w:rPr>
          <w:rFonts w:ascii="Arial" w:eastAsia="Arial" w:hAnsi="Arial"/>
          <w:b/>
          <w:bCs/>
          <w:color w:val="000000"/>
          <w:lang w:val="el-GR"/>
        </w:rPr>
        <w:t>’</w:t>
      </w:r>
      <w:r w:rsidRPr="00E9001A">
        <w:rPr>
          <w:rFonts w:ascii="Arial" w:eastAsia="Arial" w:hAnsi="Arial"/>
          <w:color w:val="000000"/>
          <w:lang w:val="el-GR"/>
        </w:rPr>
        <w:t xml:space="preserve">). Η </w:t>
      </w:r>
      <w:r w:rsidRPr="00E42D30">
        <w:rPr>
          <w:rFonts w:ascii="Arial" w:eastAsia="Arial" w:hAnsi="Arial"/>
          <w:color w:val="000000"/>
          <w:lang w:val="el-GR"/>
        </w:rPr>
        <w:t>Euroclear</w:t>
      </w:r>
      <w:r w:rsidRPr="00E9001A">
        <w:rPr>
          <w:rFonts w:ascii="Arial" w:eastAsia="Arial" w:hAnsi="Arial"/>
          <w:color w:val="000000"/>
          <w:lang w:val="el-GR"/>
        </w:rPr>
        <w:t xml:space="preserve"> </w:t>
      </w:r>
      <w:r w:rsidRPr="00E42D30">
        <w:rPr>
          <w:rFonts w:ascii="Arial" w:eastAsia="Arial" w:hAnsi="Arial"/>
          <w:color w:val="000000"/>
          <w:lang w:val="el-GR"/>
        </w:rPr>
        <w:t>Bank</w:t>
      </w:r>
      <w:r w:rsidRPr="00E9001A">
        <w:rPr>
          <w:rFonts w:ascii="Arial" w:eastAsia="Arial" w:hAnsi="Arial"/>
          <w:color w:val="000000"/>
          <w:lang w:val="el-GR"/>
        </w:rPr>
        <w:t xml:space="preserve"> θα ενεργεί ως πληρώτρια για την καταβολή του </w:t>
      </w:r>
      <w:r w:rsidR="00D152CE">
        <w:rPr>
          <w:rFonts w:ascii="Arial" w:eastAsia="Arial" w:hAnsi="Arial"/>
          <w:color w:val="000000"/>
          <w:lang w:val="el-GR"/>
        </w:rPr>
        <w:t xml:space="preserve">Ενδιάμεσου </w:t>
      </w:r>
      <w:r w:rsidRPr="00E9001A">
        <w:rPr>
          <w:rFonts w:ascii="Arial" w:eastAsia="Arial" w:hAnsi="Arial"/>
          <w:color w:val="000000"/>
          <w:lang w:val="el-GR"/>
        </w:rPr>
        <w:t xml:space="preserve">Μερίσματος στους Συμμετέχοντες </w:t>
      </w:r>
      <w:r w:rsidRPr="00E42D30">
        <w:rPr>
          <w:rFonts w:ascii="Arial" w:eastAsia="Arial" w:hAnsi="Arial"/>
          <w:color w:val="000000"/>
          <w:lang w:val="el-GR"/>
        </w:rPr>
        <w:t>EB</w:t>
      </w:r>
      <w:r w:rsidRPr="00E9001A">
        <w:rPr>
          <w:rFonts w:ascii="Arial" w:eastAsia="Arial" w:hAnsi="Arial"/>
          <w:color w:val="000000"/>
          <w:lang w:val="el-GR"/>
        </w:rPr>
        <w:t>.</w:t>
      </w:r>
    </w:p>
    <w:p w14:paraId="4FC1F00D" w14:textId="2516CFC6" w:rsidR="00BE4A3B" w:rsidRDefault="00BE4A3B" w:rsidP="00E42D30">
      <w:pPr>
        <w:numPr>
          <w:ilvl w:val="0"/>
          <w:numId w:val="26"/>
        </w:numPr>
        <w:tabs>
          <w:tab w:val="clear" w:pos="360"/>
        </w:tabs>
        <w:spacing w:before="14" w:after="448" w:line="275" w:lineRule="exact"/>
        <w:ind w:left="567" w:right="72" w:hanging="567"/>
        <w:jc w:val="both"/>
        <w:textAlignment w:val="baseline"/>
        <w:rPr>
          <w:rFonts w:ascii="Arial" w:eastAsia="Arial" w:hAnsi="Arial"/>
          <w:color w:val="000000"/>
          <w:lang w:val="el-GR"/>
        </w:rPr>
      </w:pPr>
      <w:r w:rsidRPr="00E9001A">
        <w:rPr>
          <w:rFonts w:ascii="Arial" w:eastAsia="Arial" w:hAnsi="Arial"/>
          <w:color w:val="000000"/>
          <w:lang w:val="el-GR"/>
        </w:rPr>
        <w:t xml:space="preserve">Για τα πρόσωπα που κατέχουν τα δικαιώματά τους επί των Συνήθων Μετοχών υπό τη μορφή λογιστικής εγγραφής απευθείας στο μητρώο μελών της Εταιρίας (οι </w:t>
      </w:r>
      <w:r w:rsidR="00D152CE">
        <w:rPr>
          <w:rFonts w:ascii="Arial" w:eastAsia="Arial" w:hAnsi="Arial"/>
          <w:color w:val="000000"/>
          <w:lang w:val="el-GR"/>
        </w:rPr>
        <w:t>‘</w:t>
      </w:r>
      <w:r w:rsidRPr="00E42D30">
        <w:rPr>
          <w:rFonts w:ascii="Arial" w:eastAsia="Arial" w:hAnsi="Arial"/>
          <w:b/>
          <w:bCs/>
          <w:color w:val="000000"/>
          <w:lang w:val="el-GR"/>
        </w:rPr>
        <w:t>Εγγεγραμμένοι Μέτοχοι</w:t>
      </w:r>
      <w:r w:rsidR="00D152CE">
        <w:rPr>
          <w:rFonts w:ascii="Arial" w:eastAsia="Arial" w:hAnsi="Arial"/>
          <w:color w:val="000000"/>
          <w:lang w:val="el-GR"/>
        </w:rPr>
        <w:t>’</w:t>
      </w:r>
      <w:r w:rsidRPr="00E9001A">
        <w:rPr>
          <w:rFonts w:ascii="Arial" w:eastAsia="Arial" w:hAnsi="Arial"/>
          <w:color w:val="000000"/>
          <w:lang w:val="el-GR"/>
        </w:rPr>
        <w:t xml:space="preserve">), η </w:t>
      </w:r>
      <w:r w:rsidR="00D152CE">
        <w:rPr>
          <w:rFonts w:ascii="Arial" w:eastAsia="Arial" w:hAnsi="Arial"/>
          <w:color w:val="000000"/>
          <w:lang w:val="el-GR"/>
        </w:rPr>
        <w:t>κ</w:t>
      </w:r>
      <w:r w:rsidRPr="00E9001A">
        <w:rPr>
          <w:rFonts w:ascii="Arial" w:eastAsia="Arial" w:hAnsi="Arial"/>
          <w:color w:val="000000"/>
          <w:lang w:val="el-GR"/>
        </w:rPr>
        <w:t>αταβολή</w:t>
      </w:r>
      <w:r w:rsidR="00D152CE">
        <w:rPr>
          <w:rFonts w:ascii="Arial" w:eastAsia="Arial" w:hAnsi="Arial"/>
          <w:color w:val="000000"/>
          <w:lang w:val="el-GR"/>
        </w:rPr>
        <w:t xml:space="preserve"> Ενδιάμεσου</w:t>
      </w:r>
      <w:r w:rsidRPr="00E9001A">
        <w:rPr>
          <w:rFonts w:ascii="Arial" w:eastAsia="Arial" w:hAnsi="Arial"/>
          <w:color w:val="000000"/>
          <w:lang w:val="el-GR"/>
        </w:rPr>
        <w:t xml:space="preserve"> Μερίσματος θα πραγματοποιείται στους Εγγεγραμμένους Μετόχους με τη μορφή επιταγής ή παραστατικού πληρωμής (warrant) που θα αποσταλεί ταχυδρομικώς ή μέσω ηλεκτρονικής μεταφοράς απευθείας. Η MUFG Corporate Markets Trustees (Nominees) Limited θα ενεργεί ως πληρώτρια για την καταβολή του </w:t>
      </w:r>
      <w:r w:rsidR="00D152CE">
        <w:rPr>
          <w:rFonts w:ascii="Arial" w:eastAsia="Arial" w:hAnsi="Arial"/>
          <w:color w:val="000000"/>
          <w:lang w:val="el-GR"/>
        </w:rPr>
        <w:t xml:space="preserve">Ενδιάμεσου </w:t>
      </w:r>
      <w:r w:rsidRPr="00E9001A">
        <w:rPr>
          <w:rFonts w:ascii="Arial" w:eastAsia="Arial" w:hAnsi="Arial"/>
          <w:color w:val="000000"/>
          <w:lang w:val="el-GR"/>
        </w:rPr>
        <w:t>Μερίσματος στους Εγγεγραμμένους Μετόχους.</w:t>
      </w:r>
    </w:p>
    <w:p w14:paraId="65A57D2D" w14:textId="5061CFD2" w:rsidR="00BE4A3B" w:rsidRPr="00BE4A3B" w:rsidRDefault="00BE4A3B" w:rsidP="00BE4A3B">
      <w:pPr>
        <w:widowControl w:val="0"/>
        <w:autoSpaceDE w:val="0"/>
        <w:autoSpaceDN w:val="0"/>
        <w:adjustRightInd w:val="0"/>
        <w:spacing w:after="0" w:line="240" w:lineRule="auto"/>
        <w:jc w:val="both"/>
        <w:rPr>
          <w:rFonts w:ascii="Arial" w:hAnsi="Arial" w:cs="Arial"/>
          <w:lang w:val="el-GR"/>
        </w:rPr>
      </w:pPr>
      <w:r w:rsidRPr="00BE4A3B">
        <w:rPr>
          <w:rFonts w:ascii="Arial" w:hAnsi="Arial" w:cs="Arial"/>
          <w:lang w:val="el-GR"/>
        </w:rPr>
        <w:t xml:space="preserve">Σύμφωνα με το καταστατικό της Εταιρίας, η Εταιρία δεν υποχρεούται να καταβάλει </w:t>
      </w:r>
      <w:r w:rsidR="00D152CE">
        <w:rPr>
          <w:rFonts w:ascii="Arial" w:hAnsi="Arial" w:cs="Arial"/>
          <w:lang w:val="el-GR"/>
        </w:rPr>
        <w:t>Ενδιάμεσο Μ</w:t>
      </w:r>
      <w:r w:rsidRPr="00BE4A3B">
        <w:rPr>
          <w:rFonts w:ascii="Arial" w:hAnsi="Arial" w:cs="Arial"/>
          <w:lang w:val="el-GR"/>
        </w:rPr>
        <w:t xml:space="preserve">έρισμα σε δικαιούχο μέτοχο, εφόσον το σχετικό ποσό ανέρχεται σε €2.00 ή λιγότερο (ή σε οποιοδήποτε άλλο ποσό καθοριστεί κατά καιρούς), εκτός εάν ο εν λόγω μέτοχος υποβάλει έγγραφη γνωστοποίηση προς την Εταιρία, με την οποία ζητεί την καταβολή του </w:t>
      </w:r>
      <w:r w:rsidR="00D152CE">
        <w:rPr>
          <w:rFonts w:ascii="Arial" w:hAnsi="Arial" w:cs="Arial"/>
          <w:lang w:val="el-GR"/>
        </w:rPr>
        <w:t>Ενδιάμεσου Μ</w:t>
      </w:r>
      <w:r w:rsidRPr="00BE4A3B">
        <w:rPr>
          <w:rFonts w:ascii="Arial" w:hAnsi="Arial" w:cs="Arial"/>
          <w:lang w:val="el-GR"/>
        </w:rPr>
        <w:t>ερίσματος και παρέχει τα σχετικά στοιχεία του τραπεζικού λογαριασμού του.</w:t>
      </w:r>
    </w:p>
    <w:p w14:paraId="2FAFBECE" w14:textId="77777777" w:rsidR="00BE4A3B" w:rsidRDefault="00BE4A3B" w:rsidP="00AA7990">
      <w:pPr>
        <w:widowControl w:val="0"/>
        <w:autoSpaceDE w:val="0"/>
        <w:autoSpaceDN w:val="0"/>
        <w:adjustRightInd w:val="0"/>
        <w:spacing w:after="0" w:line="240" w:lineRule="auto"/>
        <w:jc w:val="both"/>
        <w:rPr>
          <w:rFonts w:ascii="Arial" w:hAnsi="Arial" w:cs="Arial"/>
          <w:lang w:val="el-GR"/>
        </w:rPr>
      </w:pPr>
    </w:p>
    <w:p w14:paraId="68AF0F1F" w14:textId="77777777" w:rsidR="00BE4A3B" w:rsidRPr="00BE4A3B" w:rsidRDefault="00BE4A3B" w:rsidP="00AA7990">
      <w:pPr>
        <w:widowControl w:val="0"/>
        <w:autoSpaceDE w:val="0"/>
        <w:autoSpaceDN w:val="0"/>
        <w:adjustRightInd w:val="0"/>
        <w:spacing w:after="0" w:line="240" w:lineRule="auto"/>
        <w:jc w:val="both"/>
        <w:rPr>
          <w:rFonts w:ascii="Arial" w:hAnsi="Arial" w:cs="Arial"/>
          <w:lang w:val="el-GR"/>
        </w:rPr>
      </w:pPr>
    </w:p>
    <w:p w14:paraId="7D97190A" w14:textId="566F7452" w:rsidR="00560AF8" w:rsidRPr="00B94582" w:rsidRDefault="00560AF8" w:rsidP="00AA7990">
      <w:pPr>
        <w:widowControl w:val="0"/>
        <w:autoSpaceDE w:val="0"/>
        <w:autoSpaceDN w:val="0"/>
        <w:adjustRightInd w:val="0"/>
        <w:spacing w:after="0" w:line="240" w:lineRule="auto"/>
        <w:jc w:val="both"/>
        <w:rPr>
          <w:rFonts w:ascii="Arial" w:hAnsi="Arial" w:cs="Arial"/>
          <w:lang w:val="el-GR"/>
        </w:rPr>
      </w:pPr>
      <w:r w:rsidRPr="00510FDF">
        <w:rPr>
          <w:rFonts w:ascii="Arial" w:hAnsi="Arial" w:cs="Arial"/>
          <w:lang w:val="el-GR"/>
        </w:rPr>
        <w:t xml:space="preserve">Για περαιτέρω πληροφορίες, μπορείτε να επικοινωνείτε με την Υπηρεσία </w:t>
      </w:r>
      <w:r w:rsidR="008E0F8F">
        <w:rPr>
          <w:rFonts w:ascii="Arial" w:hAnsi="Arial" w:cs="Arial"/>
          <w:lang w:val="el-GR"/>
        </w:rPr>
        <w:t>Εξυπηρέτησης Μετόχων</w:t>
      </w:r>
      <w:r w:rsidRPr="00510FDF">
        <w:rPr>
          <w:rFonts w:ascii="Arial" w:hAnsi="Arial" w:cs="Arial"/>
          <w:lang w:val="el-GR"/>
        </w:rPr>
        <w:t xml:space="preserve"> στην ηλεκτρονική διεύθυνση </w:t>
      </w:r>
      <w:hyperlink r:id="rId12" w:history="1">
        <w:r w:rsidR="008E0F8F" w:rsidRPr="00FF3965">
          <w:rPr>
            <w:rStyle w:val="Hyperlink"/>
            <w:rFonts w:ascii="Arial" w:hAnsi="Arial" w:cs="Arial"/>
            <w:lang w:val="el-GR"/>
          </w:rPr>
          <w:t>s</w:t>
        </w:r>
        <w:r w:rsidR="008E0F8F" w:rsidRPr="00FF3965">
          <w:rPr>
            <w:rStyle w:val="Hyperlink"/>
            <w:rFonts w:ascii="Arial" w:hAnsi="Arial" w:cs="Arial"/>
            <w:lang w:val="en-US"/>
          </w:rPr>
          <w:t>hares</w:t>
        </w:r>
        <w:r w:rsidR="008E0F8F" w:rsidRPr="00FF3965">
          <w:rPr>
            <w:rStyle w:val="Hyperlink"/>
            <w:rFonts w:ascii="Arial" w:hAnsi="Arial" w:cs="Arial"/>
            <w:lang w:val="el-GR"/>
          </w:rPr>
          <w:t>@bankofcyprus.com</w:t>
        </w:r>
      </w:hyperlink>
      <w:r w:rsidRPr="00B94582">
        <w:rPr>
          <w:rFonts w:ascii="Arial" w:hAnsi="Arial" w:cs="Arial"/>
          <w:lang w:val="el-GR"/>
        </w:rPr>
        <w:t>.</w:t>
      </w:r>
    </w:p>
    <w:p w14:paraId="28A89044" w14:textId="77777777" w:rsidR="00560AF8" w:rsidRDefault="00560AF8" w:rsidP="00560AF8">
      <w:pPr>
        <w:spacing w:after="0" w:line="240" w:lineRule="auto"/>
        <w:ind w:right="-20"/>
        <w:rPr>
          <w:rFonts w:ascii="Arial" w:eastAsia="Arial" w:hAnsi="Arial" w:cs="Arial"/>
          <w:b/>
          <w:bCs/>
          <w:i/>
          <w:sz w:val="16"/>
          <w:szCs w:val="16"/>
          <w:lang w:val="el-GR"/>
        </w:rPr>
      </w:pPr>
    </w:p>
    <w:p w14:paraId="65B34F73" w14:textId="77777777" w:rsidR="002758F8" w:rsidRPr="004F55B6" w:rsidRDefault="002758F8" w:rsidP="002758F8">
      <w:pPr>
        <w:spacing w:after="0" w:line="240" w:lineRule="auto"/>
        <w:ind w:right="-20"/>
        <w:rPr>
          <w:rFonts w:ascii="Arial" w:eastAsia="Times New Roman" w:hAnsi="Arial" w:cs="Arial"/>
          <w:b/>
          <w:i/>
          <w:sz w:val="16"/>
          <w:szCs w:val="16"/>
          <w:lang w:val="el-GR"/>
        </w:rPr>
      </w:pPr>
    </w:p>
    <w:p w14:paraId="1B12A492" w14:textId="741C526B" w:rsidR="002758F8" w:rsidRPr="004F55B6" w:rsidRDefault="00BE4A3B" w:rsidP="00E42D30">
      <w:pPr>
        <w:spacing w:before="14" w:line="275" w:lineRule="exact"/>
        <w:ind w:right="72"/>
        <w:jc w:val="both"/>
        <w:textAlignment w:val="baseline"/>
        <w:rPr>
          <w:rFonts w:ascii="Arial" w:eastAsia="Times New Roman" w:hAnsi="Arial" w:cs="Arial"/>
          <w:b/>
          <w:i/>
          <w:sz w:val="16"/>
          <w:szCs w:val="16"/>
          <w:lang w:val="el-GR"/>
        </w:rPr>
      </w:pPr>
      <w:r>
        <w:rPr>
          <w:rFonts w:ascii="Arial" w:eastAsia="Arial" w:hAnsi="Arial"/>
          <w:i/>
          <w:iCs/>
          <w:color w:val="000000"/>
          <w:sz w:val="20"/>
          <w:szCs w:val="18"/>
          <w:lang w:val="el-GR"/>
        </w:rPr>
        <w:t xml:space="preserve">Σημείωση: </w:t>
      </w:r>
      <w:r w:rsidRPr="004F58EA">
        <w:rPr>
          <w:rFonts w:ascii="Arial" w:eastAsia="Arial" w:hAnsi="Arial"/>
          <w:i/>
          <w:iCs/>
          <w:color w:val="000000"/>
          <w:sz w:val="20"/>
          <w:szCs w:val="18"/>
          <w:lang w:val="el-GR"/>
        </w:rPr>
        <w:t xml:space="preserve">Το τελικό καθαρό ποσό </w:t>
      </w:r>
      <w:r>
        <w:rPr>
          <w:rFonts w:ascii="Arial" w:eastAsia="Arial" w:hAnsi="Arial"/>
          <w:i/>
          <w:iCs/>
          <w:color w:val="000000"/>
          <w:sz w:val="20"/>
          <w:szCs w:val="18"/>
          <w:lang w:val="el-GR"/>
        </w:rPr>
        <w:t>του</w:t>
      </w:r>
      <w:r w:rsidRPr="004F58EA">
        <w:rPr>
          <w:rFonts w:ascii="Arial" w:eastAsia="Arial" w:hAnsi="Arial"/>
          <w:i/>
          <w:iCs/>
          <w:color w:val="000000"/>
          <w:sz w:val="20"/>
          <w:szCs w:val="18"/>
          <w:lang w:val="el-GR"/>
        </w:rPr>
        <w:t xml:space="preserve"> </w:t>
      </w:r>
      <w:r w:rsidR="00D152CE">
        <w:rPr>
          <w:rFonts w:ascii="Arial" w:eastAsia="Arial" w:hAnsi="Arial"/>
          <w:i/>
          <w:iCs/>
          <w:color w:val="000000"/>
          <w:sz w:val="20"/>
          <w:szCs w:val="18"/>
          <w:lang w:val="el-GR"/>
        </w:rPr>
        <w:t>Ενδιάμεσου Μ</w:t>
      </w:r>
      <w:r w:rsidRPr="004F58EA">
        <w:rPr>
          <w:rFonts w:ascii="Arial" w:eastAsia="Arial" w:hAnsi="Arial"/>
          <w:i/>
          <w:iCs/>
          <w:color w:val="000000"/>
          <w:sz w:val="20"/>
          <w:szCs w:val="18"/>
          <w:lang w:val="el-GR"/>
        </w:rPr>
        <w:t xml:space="preserve">ερίσματος που </w:t>
      </w:r>
      <w:r>
        <w:rPr>
          <w:rFonts w:ascii="Arial" w:eastAsia="Arial" w:hAnsi="Arial"/>
          <w:i/>
          <w:iCs/>
          <w:color w:val="000000"/>
          <w:sz w:val="20"/>
          <w:szCs w:val="18"/>
          <w:lang w:val="el-GR"/>
        </w:rPr>
        <w:t>λαμβάνει ένας</w:t>
      </w:r>
      <w:r w:rsidRPr="004F58EA">
        <w:rPr>
          <w:rFonts w:ascii="Arial" w:eastAsia="Arial" w:hAnsi="Arial"/>
          <w:i/>
          <w:iCs/>
          <w:color w:val="000000"/>
          <w:sz w:val="20"/>
          <w:szCs w:val="18"/>
          <w:lang w:val="el-GR"/>
        </w:rPr>
        <w:t xml:space="preserve"> μέτοχος ενδέχεται να </w:t>
      </w:r>
      <w:r>
        <w:rPr>
          <w:rFonts w:ascii="Arial" w:eastAsia="Arial" w:hAnsi="Arial"/>
          <w:i/>
          <w:iCs/>
          <w:color w:val="000000"/>
          <w:sz w:val="20"/>
          <w:szCs w:val="18"/>
          <w:lang w:val="el-GR"/>
        </w:rPr>
        <w:t>διαφέρει</w:t>
      </w:r>
      <w:r w:rsidRPr="004F58EA">
        <w:rPr>
          <w:rFonts w:ascii="Arial" w:eastAsia="Arial" w:hAnsi="Arial"/>
          <w:i/>
          <w:iCs/>
          <w:color w:val="000000"/>
          <w:sz w:val="20"/>
          <w:szCs w:val="18"/>
          <w:lang w:val="el-GR"/>
        </w:rPr>
        <w:t>, ανάλογα με τη φορολογική κατοικία του μετόχου.</w:t>
      </w:r>
      <w:r w:rsidRPr="00CD5725">
        <w:rPr>
          <w:lang w:val="el-GR"/>
        </w:rPr>
        <w:t xml:space="preserve"> </w:t>
      </w:r>
      <w:r w:rsidRPr="00CD5725">
        <w:rPr>
          <w:rFonts w:ascii="Arial" w:eastAsia="Arial" w:hAnsi="Arial"/>
          <w:i/>
          <w:iCs/>
          <w:color w:val="000000"/>
          <w:sz w:val="20"/>
          <w:szCs w:val="18"/>
          <w:lang w:val="el-GR"/>
        </w:rPr>
        <w:t xml:space="preserve">Όταν η </w:t>
      </w:r>
      <w:r w:rsidR="00D152CE">
        <w:rPr>
          <w:rFonts w:ascii="Arial" w:eastAsia="Arial" w:hAnsi="Arial"/>
          <w:i/>
          <w:iCs/>
          <w:color w:val="000000"/>
          <w:sz w:val="20"/>
          <w:szCs w:val="18"/>
          <w:lang w:val="el-GR"/>
        </w:rPr>
        <w:t>κ</w:t>
      </w:r>
      <w:r>
        <w:rPr>
          <w:rFonts w:ascii="Arial" w:eastAsia="Arial" w:hAnsi="Arial"/>
          <w:i/>
          <w:iCs/>
          <w:color w:val="000000"/>
          <w:sz w:val="20"/>
          <w:szCs w:val="18"/>
          <w:lang w:val="el-GR"/>
        </w:rPr>
        <w:t>αταβολή</w:t>
      </w:r>
      <w:r w:rsidR="00D152CE">
        <w:rPr>
          <w:rFonts w:ascii="Arial" w:eastAsia="Arial" w:hAnsi="Arial"/>
          <w:i/>
          <w:iCs/>
          <w:color w:val="000000"/>
          <w:sz w:val="20"/>
          <w:szCs w:val="18"/>
          <w:lang w:val="el-GR"/>
        </w:rPr>
        <w:t xml:space="preserve"> Ενδιάμεσου</w:t>
      </w:r>
      <w:r w:rsidRPr="00CD5725">
        <w:rPr>
          <w:rFonts w:ascii="Arial" w:eastAsia="Arial" w:hAnsi="Arial"/>
          <w:i/>
          <w:iCs/>
          <w:color w:val="000000"/>
          <w:sz w:val="20"/>
          <w:szCs w:val="18"/>
          <w:lang w:val="el-GR"/>
        </w:rPr>
        <w:t xml:space="preserve"> Μερίσματος υπόκειται σε φόρο, </w:t>
      </w:r>
      <w:r>
        <w:rPr>
          <w:rFonts w:ascii="Arial" w:eastAsia="Arial" w:hAnsi="Arial"/>
          <w:i/>
          <w:iCs/>
          <w:color w:val="000000"/>
          <w:sz w:val="20"/>
          <w:szCs w:val="18"/>
          <w:lang w:val="el-GR"/>
        </w:rPr>
        <w:t>η</w:t>
      </w:r>
      <w:r w:rsidRPr="00E468E0">
        <w:rPr>
          <w:rFonts w:ascii="Arial" w:eastAsia="Arial" w:hAnsi="Arial"/>
          <w:i/>
          <w:iCs/>
          <w:color w:val="000000"/>
          <w:sz w:val="20"/>
          <w:szCs w:val="18"/>
          <w:lang w:val="el-GR"/>
        </w:rPr>
        <w:t xml:space="preserve"> Εταιρία θα διασφαλίσει ότι η </w:t>
      </w:r>
      <w:r>
        <w:rPr>
          <w:rFonts w:ascii="Arial" w:eastAsia="Arial" w:hAnsi="Arial"/>
          <w:i/>
          <w:iCs/>
          <w:color w:val="000000"/>
          <w:sz w:val="20"/>
          <w:szCs w:val="18"/>
          <w:lang w:val="el-GR"/>
        </w:rPr>
        <w:t xml:space="preserve">καταβολή του σχετικού φόρου </w:t>
      </w:r>
      <w:r w:rsidRPr="00E468E0">
        <w:rPr>
          <w:rFonts w:ascii="Arial" w:eastAsia="Arial" w:hAnsi="Arial"/>
          <w:i/>
          <w:iCs/>
          <w:color w:val="000000"/>
          <w:sz w:val="20"/>
          <w:szCs w:val="18"/>
          <w:lang w:val="el-GR"/>
        </w:rPr>
        <w:t xml:space="preserve">θα </w:t>
      </w:r>
      <w:r>
        <w:rPr>
          <w:rFonts w:ascii="Arial" w:eastAsia="Arial" w:hAnsi="Arial"/>
          <w:i/>
          <w:iCs/>
          <w:color w:val="000000"/>
          <w:sz w:val="20"/>
          <w:szCs w:val="18"/>
          <w:lang w:val="el-GR"/>
        </w:rPr>
        <w:t>πραγματοποιη</w:t>
      </w:r>
      <w:r w:rsidRPr="00E468E0">
        <w:rPr>
          <w:rFonts w:ascii="Arial" w:eastAsia="Arial" w:hAnsi="Arial"/>
          <w:i/>
          <w:iCs/>
          <w:color w:val="000000"/>
          <w:sz w:val="20"/>
          <w:szCs w:val="18"/>
          <w:lang w:val="el-GR"/>
        </w:rPr>
        <w:t xml:space="preserve">θεί στην αρμόδια φορολογική αρχή για λογαριασμό των Κατόχων </w:t>
      </w:r>
      <w:r>
        <w:rPr>
          <w:rFonts w:ascii="Arial" w:eastAsia="Arial" w:hAnsi="Arial"/>
          <w:i/>
          <w:iCs/>
          <w:color w:val="000000"/>
          <w:sz w:val="20"/>
          <w:szCs w:val="18"/>
          <w:lang w:val="el-GR"/>
        </w:rPr>
        <w:t>ΠΔ</w:t>
      </w:r>
      <w:r w:rsidRPr="00E468E0">
        <w:rPr>
          <w:rFonts w:ascii="Arial" w:eastAsia="Arial" w:hAnsi="Arial"/>
          <w:i/>
          <w:iCs/>
          <w:color w:val="000000"/>
          <w:sz w:val="20"/>
          <w:szCs w:val="18"/>
          <w:lang w:val="el-GR"/>
        </w:rPr>
        <w:t>. Για τους λοιπούς μετόχου</w:t>
      </w:r>
      <w:r>
        <w:rPr>
          <w:rFonts w:ascii="Arial" w:eastAsia="Arial" w:hAnsi="Arial"/>
          <w:i/>
          <w:iCs/>
          <w:color w:val="000000"/>
          <w:sz w:val="20"/>
          <w:szCs w:val="18"/>
          <w:lang w:val="el-GR"/>
        </w:rPr>
        <w:t xml:space="preserve">ς, </w:t>
      </w:r>
      <w:r w:rsidRPr="00CD5725">
        <w:rPr>
          <w:rFonts w:ascii="Arial" w:eastAsia="Arial" w:hAnsi="Arial"/>
          <w:i/>
          <w:iCs/>
          <w:color w:val="000000"/>
          <w:sz w:val="20"/>
          <w:szCs w:val="18"/>
          <w:lang w:val="el-GR"/>
        </w:rPr>
        <w:t xml:space="preserve">αποτελεί ευθύνη του εκάστοτε μετόχου </w:t>
      </w:r>
      <w:r>
        <w:rPr>
          <w:rFonts w:ascii="Arial" w:eastAsia="Arial" w:hAnsi="Arial"/>
          <w:i/>
          <w:iCs/>
          <w:color w:val="000000"/>
          <w:sz w:val="20"/>
          <w:szCs w:val="18"/>
          <w:lang w:val="el-GR"/>
        </w:rPr>
        <w:t>υπέρ του οποίου εκτελείται</w:t>
      </w:r>
      <w:r w:rsidRPr="00CD5725">
        <w:rPr>
          <w:rFonts w:ascii="Arial" w:eastAsia="Arial" w:hAnsi="Arial"/>
          <w:i/>
          <w:iCs/>
          <w:color w:val="000000"/>
          <w:sz w:val="20"/>
          <w:szCs w:val="18"/>
          <w:lang w:val="el-GR"/>
        </w:rPr>
        <w:t xml:space="preserve"> η </w:t>
      </w:r>
      <w:r w:rsidR="00D152CE">
        <w:rPr>
          <w:rFonts w:ascii="Arial" w:eastAsia="Arial" w:hAnsi="Arial"/>
          <w:i/>
          <w:iCs/>
          <w:color w:val="000000"/>
          <w:sz w:val="20"/>
          <w:szCs w:val="18"/>
          <w:lang w:val="el-GR"/>
        </w:rPr>
        <w:t>κ</w:t>
      </w:r>
      <w:r>
        <w:rPr>
          <w:rFonts w:ascii="Arial" w:eastAsia="Arial" w:hAnsi="Arial"/>
          <w:i/>
          <w:iCs/>
          <w:color w:val="000000"/>
          <w:sz w:val="20"/>
          <w:szCs w:val="18"/>
          <w:lang w:val="el-GR"/>
        </w:rPr>
        <w:t>αταβολή</w:t>
      </w:r>
      <w:r w:rsidRPr="00CD5725">
        <w:rPr>
          <w:rFonts w:ascii="Arial" w:eastAsia="Arial" w:hAnsi="Arial"/>
          <w:i/>
          <w:iCs/>
          <w:color w:val="000000"/>
          <w:sz w:val="20"/>
          <w:szCs w:val="18"/>
          <w:lang w:val="el-GR"/>
        </w:rPr>
        <w:t xml:space="preserve"> </w:t>
      </w:r>
      <w:r w:rsidR="00D152CE">
        <w:rPr>
          <w:rFonts w:ascii="Arial" w:eastAsia="Arial" w:hAnsi="Arial"/>
          <w:i/>
          <w:iCs/>
          <w:color w:val="000000"/>
          <w:sz w:val="20"/>
          <w:szCs w:val="18"/>
          <w:lang w:val="el-GR"/>
        </w:rPr>
        <w:t xml:space="preserve">Ενδιάμεσου </w:t>
      </w:r>
      <w:r w:rsidRPr="00CD5725">
        <w:rPr>
          <w:rFonts w:ascii="Arial" w:eastAsia="Arial" w:hAnsi="Arial"/>
          <w:i/>
          <w:iCs/>
          <w:color w:val="000000"/>
          <w:sz w:val="20"/>
          <w:szCs w:val="18"/>
          <w:lang w:val="el-GR"/>
        </w:rPr>
        <w:t xml:space="preserve">Μερίσματος να διασφαλίσει την καταβολή του αντίστοιχου φόρου στη σχετική φορολογική αρχή της δικαιοδοσίας </w:t>
      </w:r>
      <w:r>
        <w:rPr>
          <w:rFonts w:ascii="Arial" w:eastAsia="Arial" w:hAnsi="Arial"/>
          <w:i/>
          <w:iCs/>
          <w:color w:val="000000"/>
          <w:sz w:val="20"/>
          <w:szCs w:val="18"/>
          <w:lang w:val="el-GR"/>
        </w:rPr>
        <w:t>στην οποία υπάγεται</w:t>
      </w:r>
      <w:r w:rsidRPr="00CD5725">
        <w:rPr>
          <w:rFonts w:ascii="Arial" w:eastAsia="Arial" w:hAnsi="Arial"/>
          <w:i/>
          <w:iCs/>
          <w:color w:val="000000"/>
          <w:sz w:val="20"/>
          <w:szCs w:val="18"/>
          <w:lang w:val="el-GR"/>
        </w:rPr>
        <w:t>.</w:t>
      </w:r>
    </w:p>
    <w:p w14:paraId="1D3F4E16" w14:textId="77777777" w:rsidR="002758F8" w:rsidRPr="004F55B6" w:rsidRDefault="002758F8" w:rsidP="002758F8">
      <w:pPr>
        <w:spacing w:after="0" w:line="240" w:lineRule="auto"/>
        <w:ind w:right="-20"/>
        <w:rPr>
          <w:rFonts w:ascii="Arial" w:eastAsia="Times New Roman" w:hAnsi="Arial" w:cs="Arial"/>
          <w:b/>
          <w:i/>
          <w:sz w:val="16"/>
          <w:szCs w:val="16"/>
          <w:lang w:val="el-GR"/>
        </w:rPr>
      </w:pPr>
    </w:p>
    <w:sectPr w:rsidR="002758F8" w:rsidRPr="004F55B6" w:rsidSect="001A6C8F">
      <w:footerReference w:type="default" r:id="rId13"/>
      <w:footerReference w:type="first" r:id="rId14"/>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E674" w14:textId="77777777" w:rsidR="00C2354D" w:rsidRDefault="00C2354D" w:rsidP="00B956AD">
      <w:pPr>
        <w:spacing w:after="0" w:line="240" w:lineRule="auto"/>
      </w:pPr>
      <w:r>
        <w:separator/>
      </w:r>
    </w:p>
  </w:endnote>
  <w:endnote w:type="continuationSeparator" w:id="0">
    <w:p w14:paraId="6D50685C" w14:textId="77777777" w:rsidR="00C2354D" w:rsidRDefault="00C2354D" w:rsidP="00B9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9C92" w14:textId="77777777" w:rsidR="00A965E5" w:rsidRPr="00E20307" w:rsidRDefault="00A965E5">
    <w:pPr>
      <w:pStyle w:val="Footer"/>
      <w:rPr>
        <w:lang w:val="el-GR"/>
      </w:rPr>
    </w:pPr>
    <w:r>
      <w:rPr>
        <w:noProof/>
        <w:lang w:val="en-GB" w:eastAsia="en-GB"/>
      </w:rPr>
      <w:drawing>
        <wp:inline distT="0" distB="0" distL="0" distR="0" wp14:anchorId="2FD738B8" wp14:editId="6EA7A7FC">
          <wp:extent cx="1681953" cy="209550"/>
          <wp:effectExtent l="0" t="0" r="0" b="0"/>
          <wp:docPr id="6" name="Picture 6" descr="C:\Users\V434\AppData\Local\Microsoft\Windows\Temporary Internet Files\Content.Outlook\V1RTQ0A9\BOC_HOLDING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434\AppData\Local\Microsoft\Windows\Temporary Internet Files\Content.Outlook\V1RTQ0A9\BOC_HOLDING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574" cy="212617"/>
                  </a:xfrm>
                  <a:prstGeom prst="rect">
                    <a:avLst/>
                  </a:prstGeom>
                  <a:noFill/>
                  <a:ln>
                    <a:noFill/>
                  </a:ln>
                </pic:spPr>
              </pic:pic>
            </a:graphicData>
          </a:graphic>
        </wp:inline>
      </w:drawing>
    </w:r>
    <w:r>
      <w:tab/>
    </w:r>
    <w:r>
      <w:tab/>
    </w:r>
    <w:r>
      <w:tab/>
      <w:t xml:space="preserve"> </w:t>
    </w:r>
    <w:sdt>
      <w:sdtPr>
        <w:id w:val="-264854051"/>
        <w:docPartObj>
          <w:docPartGallery w:val="Page Numbers (Bottom of Page)"/>
          <w:docPartUnique/>
        </w:docPartObj>
      </w:sdtPr>
      <w:sdtEndPr>
        <w:rPr>
          <w:rFonts w:ascii="Arial" w:hAnsi="Arial" w:cs="Arial"/>
          <w:noProof/>
          <w:sz w:val="18"/>
          <w:szCs w:val="18"/>
        </w:rPr>
      </w:sdtEndPr>
      <w:sdtContent>
        <w:r w:rsidRPr="00261BCD">
          <w:rPr>
            <w:rFonts w:ascii="Arial" w:hAnsi="Arial" w:cs="Arial"/>
            <w:sz w:val="18"/>
            <w:szCs w:val="18"/>
          </w:rPr>
          <w:fldChar w:fldCharType="begin"/>
        </w:r>
        <w:r w:rsidRPr="00261BCD">
          <w:rPr>
            <w:rFonts w:ascii="Arial" w:hAnsi="Arial" w:cs="Arial"/>
            <w:sz w:val="18"/>
            <w:szCs w:val="18"/>
          </w:rPr>
          <w:instrText xml:space="preserve"> PAGE   \* MERGEFORMAT </w:instrText>
        </w:r>
        <w:r w:rsidRPr="00261BCD">
          <w:rPr>
            <w:rFonts w:ascii="Arial" w:hAnsi="Arial" w:cs="Arial"/>
            <w:sz w:val="18"/>
            <w:szCs w:val="18"/>
          </w:rPr>
          <w:fldChar w:fldCharType="separate"/>
        </w:r>
        <w:r w:rsidR="00AA7990">
          <w:rPr>
            <w:rFonts w:ascii="Arial" w:hAnsi="Arial" w:cs="Arial"/>
            <w:noProof/>
            <w:sz w:val="18"/>
            <w:szCs w:val="18"/>
          </w:rPr>
          <w:t>2</w:t>
        </w:r>
        <w:r w:rsidRPr="00261BCD">
          <w:rPr>
            <w:rFonts w:ascii="Arial" w:hAnsi="Arial" w:cs="Arial"/>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963A" w14:textId="42103793" w:rsidR="00481BEF" w:rsidRPr="00432DA1" w:rsidRDefault="00905FAE">
    <w:pPr>
      <w:pStyle w:val="Footer"/>
      <w:rPr>
        <w:lang w:val="el-GR"/>
      </w:rPr>
    </w:pPr>
    <w:r w:rsidRPr="00012955">
      <w:rPr>
        <w:noProof/>
      </w:rPr>
      <w:drawing>
        <wp:inline distT="0" distB="0" distL="0" distR="0" wp14:anchorId="7C139AC9" wp14:editId="1726107A">
          <wp:extent cx="711143" cy="396240"/>
          <wp:effectExtent l="0" t="0" r="0" b="3810"/>
          <wp:docPr id="1085467875" name="Picture 1" descr="A gol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67875" name="Picture 1" descr="A gold and black text&#10;&#10;Description automatically generated"/>
                  <pic:cNvPicPr/>
                </pic:nvPicPr>
                <pic:blipFill>
                  <a:blip r:embed="rId1"/>
                  <a:stretch>
                    <a:fillRect/>
                  </a:stretch>
                </pic:blipFill>
                <pic:spPr>
                  <a:xfrm>
                    <a:off x="0" y="0"/>
                    <a:ext cx="726275" cy="404672"/>
                  </a:xfrm>
                  <a:prstGeom prst="rect">
                    <a:avLst/>
                  </a:prstGeom>
                </pic:spPr>
              </pic:pic>
            </a:graphicData>
          </a:graphic>
        </wp:inline>
      </w:drawing>
    </w:r>
    <w:r>
      <w:rPr>
        <w:noProof/>
      </w:rPr>
      <w:drawing>
        <wp:inline distT="0" distB="0" distL="0" distR="0" wp14:anchorId="2A52CAC0" wp14:editId="4538E497">
          <wp:extent cx="563880" cy="464820"/>
          <wp:effectExtent l="0" t="0" r="7620" b="0"/>
          <wp:docPr id="751019463" name="Picture 3" descr="A blue and white card with a gold plane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19463" name="Picture 3" descr="A blue and white card with a gold planet and white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388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FDA35" w14:textId="77777777" w:rsidR="00C2354D" w:rsidRDefault="00C2354D" w:rsidP="00B956AD">
      <w:pPr>
        <w:spacing w:after="0" w:line="240" w:lineRule="auto"/>
      </w:pPr>
      <w:r>
        <w:separator/>
      </w:r>
    </w:p>
  </w:footnote>
  <w:footnote w:type="continuationSeparator" w:id="0">
    <w:p w14:paraId="69D41406" w14:textId="77777777" w:rsidR="00C2354D" w:rsidRDefault="00C2354D" w:rsidP="00B95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5F6"/>
    <w:multiLevelType w:val="hybridMultilevel"/>
    <w:tmpl w:val="127C6778"/>
    <w:lvl w:ilvl="0" w:tplc="88327B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9710D"/>
    <w:multiLevelType w:val="hybridMultilevel"/>
    <w:tmpl w:val="01427E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D0AA0"/>
    <w:multiLevelType w:val="hybridMultilevel"/>
    <w:tmpl w:val="B8925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26D99"/>
    <w:multiLevelType w:val="hybridMultilevel"/>
    <w:tmpl w:val="F5545E00"/>
    <w:lvl w:ilvl="0" w:tplc="0BB2E60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6159D"/>
    <w:multiLevelType w:val="hybridMultilevel"/>
    <w:tmpl w:val="95960098"/>
    <w:lvl w:ilvl="0" w:tplc="CA5CB988">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64C0C"/>
    <w:multiLevelType w:val="multilevel"/>
    <w:tmpl w:val="5FEEA37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274A2"/>
    <w:multiLevelType w:val="hybridMultilevel"/>
    <w:tmpl w:val="8126EC44"/>
    <w:lvl w:ilvl="0" w:tplc="707A95FC">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7" w15:restartNumberingAfterBreak="0">
    <w:nsid w:val="33A90635"/>
    <w:multiLevelType w:val="hybridMultilevel"/>
    <w:tmpl w:val="B166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44D5C"/>
    <w:multiLevelType w:val="hybridMultilevel"/>
    <w:tmpl w:val="E9F864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FA66BD"/>
    <w:multiLevelType w:val="hybridMultilevel"/>
    <w:tmpl w:val="39781D8A"/>
    <w:lvl w:ilvl="0" w:tplc="32F8AAA0">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E594F"/>
    <w:multiLevelType w:val="hybridMultilevel"/>
    <w:tmpl w:val="E91C9276"/>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1" w15:restartNumberingAfterBreak="0">
    <w:nsid w:val="38F374FF"/>
    <w:multiLevelType w:val="hybridMultilevel"/>
    <w:tmpl w:val="A1F0277C"/>
    <w:lvl w:ilvl="0" w:tplc="29808DA6">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B67261"/>
    <w:multiLevelType w:val="hybridMultilevel"/>
    <w:tmpl w:val="934A0D92"/>
    <w:lvl w:ilvl="0" w:tplc="A7BE9C16">
      <w:numFmt w:val="decimal"/>
      <w:lvlText w:val="%1."/>
      <w:lvlJc w:val="left"/>
      <w:pPr>
        <w:ind w:left="479"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C196E"/>
    <w:multiLevelType w:val="hybridMultilevel"/>
    <w:tmpl w:val="A956C2F8"/>
    <w:lvl w:ilvl="0" w:tplc="52C259CE">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9199F"/>
    <w:multiLevelType w:val="hybridMultilevel"/>
    <w:tmpl w:val="B4F4AB74"/>
    <w:lvl w:ilvl="0" w:tplc="D6B6A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104A38"/>
    <w:multiLevelType w:val="hybridMultilevel"/>
    <w:tmpl w:val="9712F234"/>
    <w:lvl w:ilvl="0" w:tplc="E460CD40">
      <w:start w:val="1"/>
      <w:numFmt w:val="decimal"/>
      <w:lvlText w:val="%1."/>
      <w:lvlJc w:val="left"/>
      <w:pPr>
        <w:ind w:left="479" w:hanging="360"/>
      </w:pPr>
      <w:rPr>
        <w:rFonts w:ascii="Arial" w:hAnsi="Arial" w:hint="default"/>
        <w:sz w:val="24"/>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6" w15:restartNumberingAfterBreak="0">
    <w:nsid w:val="552B1C06"/>
    <w:multiLevelType w:val="hybridMultilevel"/>
    <w:tmpl w:val="7AB4AFAE"/>
    <w:lvl w:ilvl="0" w:tplc="352E864E">
      <w:start w:val="1"/>
      <w:numFmt w:val="decimal"/>
      <w:lvlText w:val="%1."/>
      <w:lvlJc w:val="left"/>
      <w:pPr>
        <w:ind w:left="479"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61299"/>
    <w:multiLevelType w:val="hybridMultilevel"/>
    <w:tmpl w:val="8428950A"/>
    <w:lvl w:ilvl="0" w:tplc="DE1218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C42223"/>
    <w:multiLevelType w:val="hybridMultilevel"/>
    <w:tmpl w:val="9F9A8746"/>
    <w:lvl w:ilvl="0" w:tplc="F274DA56">
      <w:start w:val="1"/>
      <w:numFmt w:val="decimal"/>
      <w:lvlText w:val="%1."/>
      <w:lvlJc w:val="left"/>
      <w:pPr>
        <w:ind w:left="479"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D86989"/>
    <w:multiLevelType w:val="hybridMultilevel"/>
    <w:tmpl w:val="244AAC76"/>
    <w:lvl w:ilvl="0" w:tplc="DF5AFDDA">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8688E"/>
    <w:multiLevelType w:val="hybridMultilevel"/>
    <w:tmpl w:val="94866F9E"/>
    <w:lvl w:ilvl="0" w:tplc="9B98AF8A">
      <w:start w:val="1"/>
      <w:numFmt w:val="decimal"/>
      <w:lvlText w:val="%1."/>
      <w:lvlJc w:val="left"/>
      <w:pPr>
        <w:ind w:left="479"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955DE8"/>
    <w:multiLevelType w:val="hybridMultilevel"/>
    <w:tmpl w:val="F5BA89E0"/>
    <w:lvl w:ilvl="0" w:tplc="CEBCA932">
      <w:start w:val="1"/>
      <w:numFmt w:val="decimal"/>
      <w:lvlText w:val="%1."/>
      <w:lvlJc w:val="left"/>
      <w:pPr>
        <w:ind w:left="720" w:hanging="360"/>
      </w:pPr>
      <w:rPr>
        <w:rFonts w:hint="default"/>
        <w:sz w:val="20"/>
        <w:szCs w:val="2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F37FAF"/>
    <w:multiLevelType w:val="hybridMultilevel"/>
    <w:tmpl w:val="77627606"/>
    <w:lvl w:ilvl="0" w:tplc="F3F0FE32">
      <w:start w:val="1"/>
      <w:numFmt w:val="decimal"/>
      <w:lvlText w:val="%1."/>
      <w:lvlJc w:val="left"/>
      <w:pPr>
        <w:ind w:left="688" w:hanging="450"/>
      </w:pPr>
      <w:rPr>
        <w:rFonts w:hint="default"/>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3" w15:restartNumberingAfterBreak="0">
    <w:nsid w:val="716446A7"/>
    <w:multiLevelType w:val="hybridMultilevel"/>
    <w:tmpl w:val="630E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741B1"/>
    <w:multiLevelType w:val="hybridMultilevel"/>
    <w:tmpl w:val="CD10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50E06"/>
    <w:multiLevelType w:val="hybridMultilevel"/>
    <w:tmpl w:val="7966B7D6"/>
    <w:lvl w:ilvl="0" w:tplc="B142AE4A">
      <w:start w:val="1"/>
      <w:numFmt w:val="decimal"/>
      <w:lvlText w:val="%1."/>
      <w:lvlJc w:val="left"/>
      <w:pPr>
        <w:ind w:left="479"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1614C1"/>
    <w:multiLevelType w:val="hybridMultilevel"/>
    <w:tmpl w:val="6BECAF98"/>
    <w:lvl w:ilvl="0" w:tplc="707A95FC">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7" w15:restartNumberingAfterBreak="0">
    <w:nsid w:val="7B1F1EC5"/>
    <w:multiLevelType w:val="hybridMultilevel"/>
    <w:tmpl w:val="3A52E6C4"/>
    <w:lvl w:ilvl="0" w:tplc="889680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02F21"/>
    <w:multiLevelType w:val="hybridMultilevel"/>
    <w:tmpl w:val="61DCD164"/>
    <w:lvl w:ilvl="0" w:tplc="64824E52">
      <w:start w:val="1"/>
      <w:numFmt w:val="decimal"/>
      <w:lvlText w:val="%1."/>
      <w:lvlJc w:val="left"/>
      <w:pPr>
        <w:ind w:left="479"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DF7C29"/>
    <w:multiLevelType w:val="hybridMultilevel"/>
    <w:tmpl w:val="68666CD2"/>
    <w:lvl w:ilvl="0" w:tplc="F3F0FE32">
      <w:start w:val="1"/>
      <w:numFmt w:val="decimal"/>
      <w:lvlText w:val="%1."/>
      <w:lvlJc w:val="left"/>
      <w:pPr>
        <w:ind w:left="569" w:hanging="45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num w:numId="1" w16cid:durableId="805661661">
    <w:abstractNumId w:val="11"/>
  </w:num>
  <w:num w:numId="2" w16cid:durableId="1187790790">
    <w:abstractNumId w:val="10"/>
  </w:num>
  <w:num w:numId="3" w16cid:durableId="2092701504">
    <w:abstractNumId w:val="29"/>
  </w:num>
  <w:num w:numId="4" w16cid:durableId="1746338236">
    <w:abstractNumId w:val="22"/>
  </w:num>
  <w:num w:numId="5" w16cid:durableId="968054433">
    <w:abstractNumId w:val="15"/>
  </w:num>
  <w:num w:numId="6" w16cid:durableId="1213348271">
    <w:abstractNumId w:val="6"/>
  </w:num>
  <w:num w:numId="7" w16cid:durableId="1933972462">
    <w:abstractNumId w:val="16"/>
  </w:num>
  <w:num w:numId="8" w16cid:durableId="1350134113">
    <w:abstractNumId w:val="26"/>
  </w:num>
  <w:num w:numId="9" w16cid:durableId="601259644">
    <w:abstractNumId w:val="20"/>
  </w:num>
  <w:num w:numId="10" w16cid:durableId="1540240915">
    <w:abstractNumId w:val="18"/>
  </w:num>
  <w:num w:numId="11" w16cid:durableId="635187590">
    <w:abstractNumId w:val="25"/>
  </w:num>
  <w:num w:numId="12" w16cid:durableId="54742092">
    <w:abstractNumId w:val="19"/>
  </w:num>
  <w:num w:numId="13" w16cid:durableId="538250520">
    <w:abstractNumId w:val="1"/>
  </w:num>
  <w:num w:numId="14" w16cid:durableId="876890217">
    <w:abstractNumId w:val="2"/>
  </w:num>
  <w:num w:numId="15" w16cid:durableId="1754353219">
    <w:abstractNumId w:val="28"/>
  </w:num>
  <w:num w:numId="16" w16cid:durableId="1688562833">
    <w:abstractNumId w:val="3"/>
  </w:num>
  <w:num w:numId="17" w16cid:durableId="1267738150">
    <w:abstractNumId w:val="0"/>
  </w:num>
  <w:num w:numId="18" w16cid:durableId="523983753">
    <w:abstractNumId w:val="12"/>
  </w:num>
  <w:num w:numId="19" w16cid:durableId="688215417">
    <w:abstractNumId w:val="13"/>
  </w:num>
  <w:num w:numId="20" w16cid:durableId="404763963">
    <w:abstractNumId w:val="9"/>
  </w:num>
  <w:num w:numId="21" w16cid:durableId="355544287">
    <w:abstractNumId w:val="4"/>
  </w:num>
  <w:num w:numId="22" w16cid:durableId="37244214">
    <w:abstractNumId w:val="8"/>
  </w:num>
  <w:num w:numId="23" w16cid:durableId="722102383">
    <w:abstractNumId w:val="27"/>
  </w:num>
  <w:num w:numId="24" w16cid:durableId="66459580">
    <w:abstractNumId w:val="14"/>
  </w:num>
  <w:num w:numId="25" w16cid:durableId="1664550714">
    <w:abstractNumId w:val="24"/>
  </w:num>
  <w:num w:numId="26" w16cid:durableId="2065522561">
    <w:abstractNumId w:val="5"/>
  </w:num>
  <w:num w:numId="27" w16cid:durableId="1214541930">
    <w:abstractNumId w:val="7"/>
  </w:num>
  <w:num w:numId="28" w16cid:durableId="1166165129">
    <w:abstractNumId w:val="21"/>
  </w:num>
  <w:num w:numId="29" w16cid:durableId="1404644140">
    <w:abstractNumId w:val="23"/>
  </w:num>
  <w:num w:numId="30" w16cid:durableId="11449293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71"/>
    <w:rsid w:val="00001E6A"/>
    <w:rsid w:val="00004210"/>
    <w:rsid w:val="000052F2"/>
    <w:rsid w:val="00006CB2"/>
    <w:rsid w:val="00006D4D"/>
    <w:rsid w:val="00033B0B"/>
    <w:rsid w:val="00070FEA"/>
    <w:rsid w:val="0007357D"/>
    <w:rsid w:val="0007437D"/>
    <w:rsid w:val="00090394"/>
    <w:rsid w:val="000B36C6"/>
    <w:rsid w:val="000C01F1"/>
    <w:rsid w:val="000C0608"/>
    <w:rsid w:val="000C3FB6"/>
    <w:rsid w:val="000D6A2F"/>
    <w:rsid w:val="000E3C58"/>
    <w:rsid w:val="000F187C"/>
    <w:rsid w:val="000F47AC"/>
    <w:rsid w:val="00102D48"/>
    <w:rsid w:val="00116A38"/>
    <w:rsid w:val="0012597B"/>
    <w:rsid w:val="0012754D"/>
    <w:rsid w:val="001303BA"/>
    <w:rsid w:val="00132F97"/>
    <w:rsid w:val="001373D8"/>
    <w:rsid w:val="001606BE"/>
    <w:rsid w:val="00163894"/>
    <w:rsid w:val="00164063"/>
    <w:rsid w:val="00187529"/>
    <w:rsid w:val="00197737"/>
    <w:rsid w:val="001A2D5D"/>
    <w:rsid w:val="001A32CD"/>
    <w:rsid w:val="001A35D6"/>
    <w:rsid w:val="001A6C8F"/>
    <w:rsid w:val="001C0C5A"/>
    <w:rsid w:val="001C3554"/>
    <w:rsid w:val="001F0AB7"/>
    <w:rsid w:val="00206507"/>
    <w:rsid w:val="0021741E"/>
    <w:rsid w:val="002212E5"/>
    <w:rsid w:val="00231EE1"/>
    <w:rsid w:val="00242F4E"/>
    <w:rsid w:val="00247A7A"/>
    <w:rsid w:val="00250596"/>
    <w:rsid w:val="00252213"/>
    <w:rsid w:val="0025232E"/>
    <w:rsid w:val="0025626D"/>
    <w:rsid w:val="00261BCD"/>
    <w:rsid w:val="0026384D"/>
    <w:rsid w:val="002758F8"/>
    <w:rsid w:val="002A42E8"/>
    <w:rsid w:val="002C2081"/>
    <w:rsid w:val="002C76F3"/>
    <w:rsid w:val="002D14AC"/>
    <w:rsid w:val="002D3D3F"/>
    <w:rsid w:val="002D54A1"/>
    <w:rsid w:val="002D56D0"/>
    <w:rsid w:val="002E2B1F"/>
    <w:rsid w:val="003116C6"/>
    <w:rsid w:val="00343606"/>
    <w:rsid w:val="003556A4"/>
    <w:rsid w:val="00361512"/>
    <w:rsid w:val="0039108F"/>
    <w:rsid w:val="00393119"/>
    <w:rsid w:val="00397FFD"/>
    <w:rsid w:val="003A6214"/>
    <w:rsid w:val="003B2475"/>
    <w:rsid w:val="003C395A"/>
    <w:rsid w:val="003C6D09"/>
    <w:rsid w:val="003D476A"/>
    <w:rsid w:val="003E0470"/>
    <w:rsid w:val="003E18F4"/>
    <w:rsid w:val="003F0389"/>
    <w:rsid w:val="003F6463"/>
    <w:rsid w:val="004116F8"/>
    <w:rsid w:val="00417A78"/>
    <w:rsid w:val="00422B00"/>
    <w:rsid w:val="00425960"/>
    <w:rsid w:val="00432DA1"/>
    <w:rsid w:val="0043625A"/>
    <w:rsid w:val="00456035"/>
    <w:rsid w:val="004574A7"/>
    <w:rsid w:val="00461869"/>
    <w:rsid w:val="004633F0"/>
    <w:rsid w:val="004718F0"/>
    <w:rsid w:val="00481BEF"/>
    <w:rsid w:val="004A4990"/>
    <w:rsid w:val="004A5452"/>
    <w:rsid w:val="004A5A68"/>
    <w:rsid w:val="004A61A0"/>
    <w:rsid w:val="004C1C17"/>
    <w:rsid w:val="004E5D49"/>
    <w:rsid w:val="004F55B6"/>
    <w:rsid w:val="004F6733"/>
    <w:rsid w:val="00510FDF"/>
    <w:rsid w:val="00537067"/>
    <w:rsid w:val="00551DF3"/>
    <w:rsid w:val="00554B64"/>
    <w:rsid w:val="00560AF8"/>
    <w:rsid w:val="005625FA"/>
    <w:rsid w:val="0057067F"/>
    <w:rsid w:val="005767D8"/>
    <w:rsid w:val="00586503"/>
    <w:rsid w:val="0058787D"/>
    <w:rsid w:val="005922E3"/>
    <w:rsid w:val="0059525F"/>
    <w:rsid w:val="005E1D85"/>
    <w:rsid w:val="005E4759"/>
    <w:rsid w:val="00610320"/>
    <w:rsid w:val="00611D0F"/>
    <w:rsid w:val="00613C27"/>
    <w:rsid w:val="0066342F"/>
    <w:rsid w:val="00663A4C"/>
    <w:rsid w:val="00665E98"/>
    <w:rsid w:val="006C39EF"/>
    <w:rsid w:val="006C545A"/>
    <w:rsid w:val="006E68CE"/>
    <w:rsid w:val="006F3B96"/>
    <w:rsid w:val="007059F5"/>
    <w:rsid w:val="0072686E"/>
    <w:rsid w:val="00745656"/>
    <w:rsid w:val="00752DFE"/>
    <w:rsid w:val="00761574"/>
    <w:rsid w:val="00764012"/>
    <w:rsid w:val="00774813"/>
    <w:rsid w:val="00783C79"/>
    <w:rsid w:val="007909C1"/>
    <w:rsid w:val="007A1438"/>
    <w:rsid w:val="007B45FC"/>
    <w:rsid w:val="007C095F"/>
    <w:rsid w:val="007C29A2"/>
    <w:rsid w:val="007E3162"/>
    <w:rsid w:val="007F5265"/>
    <w:rsid w:val="007F722B"/>
    <w:rsid w:val="00805C62"/>
    <w:rsid w:val="00806B9B"/>
    <w:rsid w:val="00811372"/>
    <w:rsid w:val="008253B8"/>
    <w:rsid w:val="00825656"/>
    <w:rsid w:val="00831574"/>
    <w:rsid w:val="00842954"/>
    <w:rsid w:val="00851B95"/>
    <w:rsid w:val="00873B8F"/>
    <w:rsid w:val="00875471"/>
    <w:rsid w:val="00880B9B"/>
    <w:rsid w:val="008829AC"/>
    <w:rsid w:val="00885B63"/>
    <w:rsid w:val="008872A4"/>
    <w:rsid w:val="00890760"/>
    <w:rsid w:val="00893AE3"/>
    <w:rsid w:val="008A2899"/>
    <w:rsid w:val="008A4320"/>
    <w:rsid w:val="008B18E9"/>
    <w:rsid w:val="008B3B9C"/>
    <w:rsid w:val="008B62AB"/>
    <w:rsid w:val="008C294D"/>
    <w:rsid w:val="008C4538"/>
    <w:rsid w:val="008C4A8F"/>
    <w:rsid w:val="008C7FB1"/>
    <w:rsid w:val="008D00A3"/>
    <w:rsid w:val="008D652B"/>
    <w:rsid w:val="008E0F8F"/>
    <w:rsid w:val="008F08B1"/>
    <w:rsid w:val="008F358D"/>
    <w:rsid w:val="008F50D3"/>
    <w:rsid w:val="00904C09"/>
    <w:rsid w:val="00905FAE"/>
    <w:rsid w:val="009109BE"/>
    <w:rsid w:val="0092241D"/>
    <w:rsid w:val="00935023"/>
    <w:rsid w:val="0094475A"/>
    <w:rsid w:val="009449DF"/>
    <w:rsid w:val="0094550F"/>
    <w:rsid w:val="009723A8"/>
    <w:rsid w:val="0097527B"/>
    <w:rsid w:val="009A05A2"/>
    <w:rsid w:val="009A283A"/>
    <w:rsid w:val="009B21DE"/>
    <w:rsid w:val="009B63AB"/>
    <w:rsid w:val="009C21FE"/>
    <w:rsid w:val="009C7D45"/>
    <w:rsid w:val="009D5644"/>
    <w:rsid w:val="009E35ED"/>
    <w:rsid w:val="009E52A1"/>
    <w:rsid w:val="009E5371"/>
    <w:rsid w:val="009F08BF"/>
    <w:rsid w:val="009F3A5A"/>
    <w:rsid w:val="00A03FAE"/>
    <w:rsid w:val="00A13B52"/>
    <w:rsid w:val="00A2088C"/>
    <w:rsid w:val="00A213E3"/>
    <w:rsid w:val="00A25021"/>
    <w:rsid w:val="00A40AEF"/>
    <w:rsid w:val="00A42FF3"/>
    <w:rsid w:val="00A46555"/>
    <w:rsid w:val="00A6585A"/>
    <w:rsid w:val="00A70A5E"/>
    <w:rsid w:val="00A73714"/>
    <w:rsid w:val="00A74843"/>
    <w:rsid w:val="00A75E7E"/>
    <w:rsid w:val="00A87627"/>
    <w:rsid w:val="00A965E5"/>
    <w:rsid w:val="00AA72AB"/>
    <w:rsid w:val="00AA7990"/>
    <w:rsid w:val="00AB3C91"/>
    <w:rsid w:val="00AC211D"/>
    <w:rsid w:val="00AC3D3E"/>
    <w:rsid w:val="00AD1565"/>
    <w:rsid w:val="00AD7062"/>
    <w:rsid w:val="00AE116C"/>
    <w:rsid w:val="00AE759F"/>
    <w:rsid w:val="00AF7C74"/>
    <w:rsid w:val="00B01194"/>
    <w:rsid w:val="00B16D18"/>
    <w:rsid w:val="00B30840"/>
    <w:rsid w:val="00B414D9"/>
    <w:rsid w:val="00B45595"/>
    <w:rsid w:val="00B52D66"/>
    <w:rsid w:val="00B615A3"/>
    <w:rsid w:val="00B72899"/>
    <w:rsid w:val="00B74742"/>
    <w:rsid w:val="00B94582"/>
    <w:rsid w:val="00B956AD"/>
    <w:rsid w:val="00BA4224"/>
    <w:rsid w:val="00BB045F"/>
    <w:rsid w:val="00BB2886"/>
    <w:rsid w:val="00BB4F33"/>
    <w:rsid w:val="00BD24BD"/>
    <w:rsid w:val="00BE21A5"/>
    <w:rsid w:val="00BE4A3B"/>
    <w:rsid w:val="00BF5F85"/>
    <w:rsid w:val="00C151A6"/>
    <w:rsid w:val="00C2354D"/>
    <w:rsid w:val="00C30875"/>
    <w:rsid w:val="00C45E40"/>
    <w:rsid w:val="00C72F05"/>
    <w:rsid w:val="00C75882"/>
    <w:rsid w:val="00C93F12"/>
    <w:rsid w:val="00CA4221"/>
    <w:rsid w:val="00CC0513"/>
    <w:rsid w:val="00CC2308"/>
    <w:rsid w:val="00CD5864"/>
    <w:rsid w:val="00CE2447"/>
    <w:rsid w:val="00CF5FEF"/>
    <w:rsid w:val="00CF6B1D"/>
    <w:rsid w:val="00D02708"/>
    <w:rsid w:val="00D035A6"/>
    <w:rsid w:val="00D05494"/>
    <w:rsid w:val="00D152CE"/>
    <w:rsid w:val="00D2635D"/>
    <w:rsid w:val="00D351C5"/>
    <w:rsid w:val="00D62282"/>
    <w:rsid w:val="00D65703"/>
    <w:rsid w:val="00D738B9"/>
    <w:rsid w:val="00D7741C"/>
    <w:rsid w:val="00D77422"/>
    <w:rsid w:val="00D827A6"/>
    <w:rsid w:val="00D87104"/>
    <w:rsid w:val="00DA1096"/>
    <w:rsid w:val="00DB41B1"/>
    <w:rsid w:val="00DB47F0"/>
    <w:rsid w:val="00DB5A60"/>
    <w:rsid w:val="00DD3784"/>
    <w:rsid w:val="00DF4D7C"/>
    <w:rsid w:val="00DF56D4"/>
    <w:rsid w:val="00E10DE1"/>
    <w:rsid w:val="00E1378C"/>
    <w:rsid w:val="00E15AB1"/>
    <w:rsid w:val="00E20307"/>
    <w:rsid w:val="00E41D74"/>
    <w:rsid w:val="00E42D30"/>
    <w:rsid w:val="00E46988"/>
    <w:rsid w:val="00E52803"/>
    <w:rsid w:val="00E529C2"/>
    <w:rsid w:val="00E55B5A"/>
    <w:rsid w:val="00E7173B"/>
    <w:rsid w:val="00E728AD"/>
    <w:rsid w:val="00E76D46"/>
    <w:rsid w:val="00E80949"/>
    <w:rsid w:val="00E85527"/>
    <w:rsid w:val="00EA52B0"/>
    <w:rsid w:val="00EB0C79"/>
    <w:rsid w:val="00EC1043"/>
    <w:rsid w:val="00EC2C4B"/>
    <w:rsid w:val="00EC37B9"/>
    <w:rsid w:val="00EC72F9"/>
    <w:rsid w:val="00EC753B"/>
    <w:rsid w:val="00ED4736"/>
    <w:rsid w:val="00ED5047"/>
    <w:rsid w:val="00EE1796"/>
    <w:rsid w:val="00EE6EDB"/>
    <w:rsid w:val="00EF5DA2"/>
    <w:rsid w:val="00F03B9D"/>
    <w:rsid w:val="00F06BCB"/>
    <w:rsid w:val="00F07C87"/>
    <w:rsid w:val="00F12611"/>
    <w:rsid w:val="00F134CF"/>
    <w:rsid w:val="00F40065"/>
    <w:rsid w:val="00F46850"/>
    <w:rsid w:val="00F507CA"/>
    <w:rsid w:val="00F51F37"/>
    <w:rsid w:val="00F5453A"/>
    <w:rsid w:val="00F602B5"/>
    <w:rsid w:val="00F675DD"/>
    <w:rsid w:val="00F70559"/>
    <w:rsid w:val="00F85700"/>
    <w:rsid w:val="00FA15A6"/>
    <w:rsid w:val="00FA58DC"/>
    <w:rsid w:val="00FA7FAC"/>
    <w:rsid w:val="00FB3FB3"/>
    <w:rsid w:val="00FC5976"/>
    <w:rsid w:val="00FC6144"/>
    <w:rsid w:val="00FD7B15"/>
    <w:rsid w:val="00FE6779"/>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FBC13A"/>
  <w15:docId w15:val="{D265B1A5-08D2-4150-B6EA-C66624F8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371"/>
    <w:pPr>
      <w:widowControl w:val="0"/>
      <w:ind w:left="720"/>
      <w:contextualSpacing/>
    </w:pPr>
    <w:rPr>
      <w:lang w:val="en-US"/>
    </w:rPr>
  </w:style>
  <w:style w:type="paragraph" w:styleId="BalloonText">
    <w:name w:val="Balloon Text"/>
    <w:basedOn w:val="Normal"/>
    <w:link w:val="BalloonTextChar"/>
    <w:uiPriority w:val="99"/>
    <w:semiHidden/>
    <w:unhideWhenUsed/>
    <w:rsid w:val="009E5371"/>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E5371"/>
    <w:rPr>
      <w:rFonts w:ascii="Tahoma" w:hAnsi="Tahoma" w:cs="Tahoma"/>
      <w:sz w:val="16"/>
      <w:szCs w:val="16"/>
      <w:lang w:val="en-US"/>
    </w:rPr>
  </w:style>
  <w:style w:type="paragraph" w:styleId="Header">
    <w:name w:val="header"/>
    <w:basedOn w:val="Normal"/>
    <w:link w:val="HeaderChar"/>
    <w:uiPriority w:val="99"/>
    <w:unhideWhenUsed/>
    <w:rsid w:val="009E5371"/>
    <w:pPr>
      <w:widowControl w:val="0"/>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9E5371"/>
    <w:rPr>
      <w:lang w:val="en-US"/>
    </w:rPr>
  </w:style>
  <w:style w:type="paragraph" w:styleId="Footer">
    <w:name w:val="footer"/>
    <w:basedOn w:val="Normal"/>
    <w:link w:val="FooterChar"/>
    <w:uiPriority w:val="99"/>
    <w:unhideWhenUsed/>
    <w:rsid w:val="009E5371"/>
    <w:pPr>
      <w:widowControl w:val="0"/>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9E5371"/>
    <w:rPr>
      <w:lang w:val="en-US"/>
    </w:rPr>
  </w:style>
  <w:style w:type="character" w:styleId="Hyperlink">
    <w:name w:val="Hyperlink"/>
    <w:basedOn w:val="DefaultParagraphFont"/>
    <w:uiPriority w:val="99"/>
    <w:unhideWhenUsed/>
    <w:rsid w:val="00BF5F85"/>
    <w:rPr>
      <w:color w:val="0000FF" w:themeColor="hyperlink"/>
      <w:u w:val="single"/>
    </w:rPr>
  </w:style>
  <w:style w:type="character" w:styleId="CommentReference">
    <w:name w:val="annotation reference"/>
    <w:basedOn w:val="DefaultParagraphFont"/>
    <w:uiPriority w:val="99"/>
    <w:semiHidden/>
    <w:unhideWhenUsed/>
    <w:rsid w:val="00F07C87"/>
    <w:rPr>
      <w:sz w:val="16"/>
      <w:szCs w:val="16"/>
    </w:rPr>
  </w:style>
  <w:style w:type="paragraph" w:styleId="CommentText">
    <w:name w:val="annotation text"/>
    <w:basedOn w:val="Normal"/>
    <w:link w:val="CommentTextChar"/>
    <w:uiPriority w:val="99"/>
    <w:semiHidden/>
    <w:unhideWhenUsed/>
    <w:rsid w:val="00F07C87"/>
    <w:pPr>
      <w:spacing w:line="240" w:lineRule="auto"/>
    </w:pPr>
    <w:rPr>
      <w:sz w:val="20"/>
      <w:szCs w:val="20"/>
    </w:rPr>
  </w:style>
  <w:style w:type="character" w:customStyle="1" w:styleId="CommentTextChar">
    <w:name w:val="Comment Text Char"/>
    <w:basedOn w:val="DefaultParagraphFont"/>
    <w:link w:val="CommentText"/>
    <w:uiPriority w:val="99"/>
    <w:semiHidden/>
    <w:rsid w:val="00F07C87"/>
    <w:rPr>
      <w:sz w:val="20"/>
      <w:szCs w:val="20"/>
    </w:rPr>
  </w:style>
  <w:style w:type="paragraph" w:styleId="CommentSubject">
    <w:name w:val="annotation subject"/>
    <w:basedOn w:val="CommentText"/>
    <w:next w:val="CommentText"/>
    <w:link w:val="CommentSubjectChar"/>
    <w:uiPriority w:val="99"/>
    <w:semiHidden/>
    <w:unhideWhenUsed/>
    <w:rsid w:val="00F07C87"/>
    <w:rPr>
      <w:b/>
      <w:bCs/>
    </w:rPr>
  </w:style>
  <w:style w:type="character" w:customStyle="1" w:styleId="CommentSubjectChar">
    <w:name w:val="Comment Subject Char"/>
    <w:basedOn w:val="CommentTextChar"/>
    <w:link w:val="CommentSubject"/>
    <w:uiPriority w:val="99"/>
    <w:semiHidden/>
    <w:rsid w:val="00F07C87"/>
    <w:rPr>
      <w:b/>
      <w:bCs/>
      <w:sz w:val="20"/>
      <w:szCs w:val="20"/>
    </w:rPr>
  </w:style>
  <w:style w:type="paragraph" w:styleId="NoSpacing">
    <w:name w:val="No Spacing"/>
    <w:uiPriority w:val="1"/>
    <w:qFormat/>
    <w:rsid w:val="008F358D"/>
    <w:pPr>
      <w:spacing w:after="0" w:line="240" w:lineRule="auto"/>
    </w:pPr>
    <w:rPr>
      <w:sz w:val="24"/>
      <w:szCs w:val="24"/>
      <w:lang w:val="en-US"/>
    </w:rPr>
  </w:style>
  <w:style w:type="paragraph" w:styleId="Revision">
    <w:name w:val="Revision"/>
    <w:hidden/>
    <w:uiPriority w:val="99"/>
    <w:semiHidden/>
    <w:rsid w:val="005767D8"/>
    <w:pPr>
      <w:spacing w:after="0" w:line="240" w:lineRule="auto"/>
    </w:pPr>
  </w:style>
  <w:style w:type="paragraph" w:styleId="BodyText">
    <w:name w:val="Body Text"/>
    <w:basedOn w:val="Normal"/>
    <w:link w:val="BodyTextChar"/>
    <w:semiHidden/>
    <w:unhideWhenUsed/>
    <w:rsid w:val="004A61A0"/>
    <w:pPr>
      <w:spacing w:after="0" w:line="240" w:lineRule="auto"/>
      <w:ind w:right="-250"/>
    </w:pPr>
    <w:rPr>
      <w:rFonts w:ascii="Times New Roman" w:eastAsia="Times New Roman" w:hAnsi="Times New Roman" w:cs="Times New Roman"/>
      <w:sz w:val="24"/>
      <w:szCs w:val="20"/>
      <w:lang w:val="el-GR" w:eastAsia="el-GR"/>
    </w:rPr>
  </w:style>
  <w:style w:type="character" w:customStyle="1" w:styleId="BodyTextChar">
    <w:name w:val="Body Text Char"/>
    <w:basedOn w:val="DefaultParagraphFont"/>
    <w:link w:val="BodyText"/>
    <w:semiHidden/>
    <w:rsid w:val="004A61A0"/>
    <w:rPr>
      <w:rFonts w:ascii="Times New Roman" w:eastAsia="Times New Roman" w:hAnsi="Times New Roman" w:cs="Times New Roman"/>
      <w:sz w:val="24"/>
      <w:szCs w:val="20"/>
      <w:lang w:val="el-GR" w:eastAsia="el-GR"/>
    </w:rPr>
  </w:style>
  <w:style w:type="paragraph" w:styleId="BodyText2">
    <w:name w:val="Body Text 2"/>
    <w:basedOn w:val="Normal"/>
    <w:link w:val="BodyText2Char"/>
    <w:semiHidden/>
    <w:unhideWhenUsed/>
    <w:rsid w:val="004A61A0"/>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4A61A0"/>
    <w:rPr>
      <w:rFonts w:ascii="Times New Roman" w:eastAsia="Times New Roman" w:hAnsi="Times New Roman" w:cs="Times New Roman"/>
      <w:sz w:val="24"/>
      <w:szCs w:val="24"/>
      <w:lang w:val="en-US"/>
    </w:rPr>
  </w:style>
  <w:style w:type="paragraph" w:customStyle="1" w:styleId="Default">
    <w:name w:val="Default"/>
    <w:rsid w:val="00F5453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0E70"/>
    <w:rPr>
      <w:color w:val="605E5C"/>
      <w:shd w:val="clear" w:color="auto" w:fill="E1DFDD"/>
    </w:rPr>
  </w:style>
  <w:style w:type="character" w:styleId="FollowedHyperlink">
    <w:name w:val="FollowedHyperlink"/>
    <w:basedOn w:val="DefaultParagraphFont"/>
    <w:uiPriority w:val="99"/>
    <w:semiHidden/>
    <w:unhideWhenUsed/>
    <w:rsid w:val="00CE2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2325">
      <w:bodyDiv w:val="1"/>
      <w:marLeft w:val="0"/>
      <w:marRight w:val="0"/>
      <w:marTop w:val="0"/>
      <w:marBottom w:val="0"/>
      <w:divBdr>
        <w:top w:val="none" w:sz="0" w:space="0" w:color="auto"/>
        <w:left w:val="none" w:sz="0" w:space="0" w:color="auto"/>
        <w:bottom w:val="none" w:sz="0" w:space="0" w:color="auto"/>
        <w:right w:val="none" w:sz="0" w:space="0" w:color="auto"/>
      </w:divBdr>
    </w:div>
    <w:div w:id="150024905">
      <w:bodyDiv w:val="1"/>
      <w:marLeft w:val="0"/>
      <w:marRight w:val="0"/>
      <w:marTop w:val="0"/>
      <w:marBottom w:val="0"/>
      <w:divBdr>
        <w:top w:val="none" w:sz="0" w:space="0" w:color="auto"/>
        <w:left w:val="none" w:sz="0" w:space="0" w:color="auto"/>
        <w:bottom w:val="none" w:sz="0" w:space="0" w:color="auto"/>
        <w:right w:val="none" w:sz="0" w:space="0" w:color="auto"/>
      </w:divBdr>
    </w:div>
    <w:div w:id="473987367">
      <w:bodyDiv w:val="1"/>
      <w:marLeft w:val="0"/>
      <w:marRight w:val="0"/>
      <w:marTop w:val="0"/>
      <w:marBottom w:val="0"/>
      <w:divBdr>
        <w:top w:val="none" w:sz="0" w:space="0" w:color="auto"/>
        <w:left w:val="none" w:sz="0" w:space="0" w:color="auto"/>
        <w:bottom w:val="none" w:sz="0" w:space="0" w:color="auto"/>
        <w:right w:val="none" w:sz="0" w:space="0" w:color="auto"/>
      </w:divBdr>
    </w:div>
    <w:div w:id="608976354">
      <w:bodyDiv w:val="1"/>
      <w:marLeft w:val="0"/>
      <w:marRight w:val="0"/>
      <w:marTop w:val="0"/>
      <w:marBottom w:val="0"/>
      <w:divBdr>
        <w:top w:val="none" w:sz="0" w:space="0" w:color="auto"/>
        <w:left w:val="none" w:sz="0" w:space="0" w:color="auto"/>
        <w:bottom w:val="none" w:sz="0" w:space="0" w:color="auto"/>
        <w:right w:val="none" w:sz="0" w:space="0" w:color="auto"/>
      </w:divBdr>
    </w:div>
    <w:div w:id="827214084">
      <w:bodyDiv w:val="1"/>
      <w:marLeft w:val="0"/>
      <w:marRight w:val="0"/>
      <w:marTop w:val="0"/>
      <w:marBottom w:val="0"/>
      <w:divBdr>
        <w:top w:val="none" w:sz="0" w:space="0" w:color="auto"/>
        <w:left w:val="none" w:sz="0" w:space="0" w:color="auto"/>
        <w:bottom w:val="none" w:sz="0" w:space="0" w:color="auto"/>
        <w:right w:val="none" w:sz="0" w:space="0" w:color="auto"/>
      </w:divBdr>
    </w:div>
    <w:div w:id="1054961341">
      <w:bodyDiv w:val="1"/>
      <w:marLeft w:val="0"/>
      <w:marRight w:val="0"/>
      <w:marTop w:val="0"/>
      <w:marBottom w:val="0"/>
      <w:divBdr>
        <w:top w:val="none" w:sz="0" w:space="0" w:color="auto"/>
        <w:left w:val="none" w:sz="0" w:space="0" w:color="auto"/>
        <w:bottom w:val="none" w:sz="0" w:space="0" w:color="auto"/>
        <w:right w:val="none" w:sz="0" w:space="0" w:color="auto"/>
      </w:divBdr>
    </w:div>
    <w:div w:id="1266377739">
      <w:bodyDiv w:val="1"/>
      <w:marLeft w:val="0"/>
      <w:marRight w:val="0"/>
      <w:marTop w:val="0"/>
      <w:marBottom w:val="0"/>
      <w:divBdr>
        <w:top w:val="none" w:sz="0" w:space="0" w:color="auto"/>
        <w:left w:val="none" w:sz="0" w:space="0" w:color="auto"/>
        <w:bottom w:val="none" w:sz="0" w:space="0" w:color="auto"/>
        <w:right w:val="none" w:sz="0" w:space="0" w:color="auto"/>
      </w:divBdr>
    </w:div>
    <w:div w:id="1754928838">
      <w:bodyDiv w:val="1"/>
      <w:marLeft w:val="0"/>
      <w:marRight w:val="0"/>
      <w:marTop w:val="0"/>
      <w:marBottom w:val="0"/>
      <w:divBdr>
        <w:top w:val="none" w:sz="0" w:space="0" w:color="auto"/>
        <w:left w:val="none" w:sz="0" w:space="0" w:color="auto"/>
        <w:bottom w:val="none" w:sz="0" w:space="0" w:color="auto"/>
        <w:right w:val="none" w:sz="0" w:space="0" w:color="auto"/>
      </w:divBdr>
    </w:div>
    <w:div w:id="1860660507">
      <w:bodyDiv w:val="1"/>
      <w:marLeft w:val="0"/>
      <w:marRight w:val="0"/>
      <w:marTop w:val="0"/>
      <w:marBottom w:val="0"/>
      <w:divBdr>
        <w:top w:val="none" w:sz="0" w:space="0" w:color="auto"/>
        <w:left w:val="none" w:sz="0" w:space="0" w:color="auto"/>
        <w:bottom w:val="none" w:sz="0" w:space="0" w:color="auto"/>
        <w:right w:val="none" w:sz="0" w:space="0" w:color="auto"/>
      </w:divBdr>
    </w:div>
    <w:div w:id="20816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es@bankofcypru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ofcyprus.com/group/investor-relations/shareholder-information/meris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nkofcyprus.com/group/investor-relations/shareholder-information/merisma/" TargetMode="External"/><Relationship Id="rId4" Type="http://schemas.openxmlformats.org/officeDocument/2006/relationships/settings" Target="settings.xml"/><Relationship Id="rId9" Type="http://schemas.openxmlformats.org/officeDocument/2006/relationships/hyperlink" Target="https://online.bankofcyprus.com/Login_UI/Logi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3151-E008-4FEF-9A3A-84D04C5F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BOC</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4447</dc:creator>
  <cp:lastModifiedBy>Stephanie Olympiou</cp:lastModifiedBy>
  <cp:revision>8</cp:revision>
  <cp:lastPrinted>2025-08-04T12:16:00Z</cp:lastPrinted>
  <dcterms:created xsi:type="dcterms:W3CDTF">2025-08-04T08:51:00Z</dcterms:created>
  <dcterms:modified xsi:type="dcterms:W3CDTF">2025-08-04T13:00:00Z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123ef0-1eab-4049-8ca8-6c7e4b49fb43_Enabled">
    <vt:lpwstr>true</vt:lpwstr>
  </property>
  <property fmtid="{D5CDD505-2E9C-101B-9397-08002B2CF9AE}" pid="3" name="MSIP_Label_ad123ef0-1eab-4049-8ca8-6c7e4b49fb43_SetDate">
    <vt:lpwstr>2024-07-24T10:42:40Z</vt:lpwstr>
  </property>
  <property fmtid="{D5CDD505-2E9C-101B-9397-08002B2CF9AE}" pid="4" name="MSIP_Label_ad123ef0-1eab-4049-8ca8-6c7e4b49fb43_Method">
    <vt:lpwstr>Privileged</vt:lpwstr>
  </property>
  <property fmtid="{D5CDD505-2E9C-101B-9397-08002B2CF9AE}" pid="5" name="MSIP_Label_ad123ef0-1eab-4049-8ca8-6c7e4b49fb43_Name">
    <vt:lpwstr>Public</vt:lpwstr>
  </property>
  <property fmtid="{D5CDD505-2E9C-101B-9397-08002B2CF9AE}" pid="6" name="MSIP_Label_ad123ef0-1eab-4049-8ca8-6c7e4b49fb43_SiteId">
    <vt:lpwstr>adc46af2-9b39-4b5e-a6e6-c2437f7c5706</vt:lpwstr>
  </property>
  <property fmtid="{D5CDD505-2E9C-101B-9397-08002B2CF9AE}" pid="7" name="MSIP_Label_ad123ef0-1eab-4049-8ca8-6c7e4b49fb43_ActionId">
    <vt:lpwstr>49f9dcae-b92a-4f4e-82f7-34816c95cbff</vt:lpwstr>
  </property>
  <property fmtid="{D5CDD505-2E9C-101B-9397-08002B2CF9AE}" pid="8" name="MSIP_Label_ad123ef0-1eab-4049-8ca8-6c7e4b49fb43_ContentBits">
    <vt:lpwstr>0</vt:lpwstr>
  </property>
</Properties>
</file>