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3369"/>
        <w:gridCol w:w="5917"/>
      </w:tblGrid>
      <w:tr w:rsidR="00483BB7" w:rsidRPr="00483BB7" w14:paraId="7FB21C69" w14:textId="77777777" w:rsidTr="005618E6">
        <w:trPr>
          <w:trHeight w:val="1757"/>
        </w:trPr>
        <w:tc>
          <w:tcPr>
            <w:tcW w:w="3369" w:type="dxa"/>
            <w:tcBorders>
              <w:left w:val="single" w:sz="48" w:space="0" w:color="BC9E6E"/>
            </w:tcBorders>
            <w:shd w:val="clear" w:color="auto" w:fill="auto"/>
            <w:vAlign w:val="center"/>
          </w:tcPr>
          <w:p w14:paraId="35C77F6A" w14:textId="761B9031" w:rsidR="00483BB7" w:rsidRPr="00483BB7" w:rsidRDefault="00483BB7" w:rsidP="00483BB7">
            <w:pPr>
              <w:tabs>
                <w:tab w:val="left" w:pos="4680"/>
                <w:tab w:val="left" w:pos="8100"/>
              </w:tabs>
              <w:spacing w:before="60" w:after="0" w:line="240" w:lineRule="auto"/>
              <w:ind w:right="142" w:firstLine="142"/>
              <w:rPr>
                <w:rFonts w:ascii="Arial" w:eastAsia="Times New Roman" w:hAnsi="Arial" w:cs="Arial"/>
                <w:i/>
                <w:noProof/>
                <w:color w:val="000000"/>
                <w:kern w:val="0"/>
                <w:sz w:val="24"/>
                <w:lang w:val="en-AU" w:eastAsia="en-GB"/>
                <w14:ligatures w14:val="none"/>
              </w:rPr>
            </w:pPr>
            <w:r w:rsidRPr="00483BB7">
              <w:rPr>
                <w:rFonts w:ascii="Arial" w:eastAsia="Times New Roman" w:hAnsi="Arial" w:cs="Arial"/>
                <w:i/>
                <w:noProof/>
                <w:color w:val="000000"/>
                <w:kern w:val="0"/>
                <w:sz w:val="24"/>
                <w:lang w:val="en-US"/>
                <w14:ligatures w14:val="none"/>
              </w:rPr>
              <w:drawing>
                <wp:inline distT="0" distB="0" distL="0" distR="0" wp14:anchorId="4466C605" wp14:editId="1B25041D">
                  <wp:extent cx="1619250" cy="876300"/>
                  <wp:effectExtent l="0" t="0" r="0" b="0"/>
                  <wp:docPr id="1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shd w:val="clear" w:color="auto" w:fill="auto"/>
          </w:tcPr>
          <w:p w14:paraId="416FD7EE" w14:textId="77777777" w:rsidR="00483BB7" w:rsidRPr="00483BB7" w:rsidRDefault="00483BB7" w:rsidP="00483BB7">
            <w:pPr>
              <w:keepNext/>
              <w:spacing w:after="0" w:line="360" w:lineRule="auto"/>
              <w:ind w:firstLine="720"/>
              <w:jc w:val="right"/>
              <w:outlineLvl w:val="0"/>
              <w:rPr>
                <w:rFonts w:ascii="Arial" w:eastAsia="Times New Roman" w:hAnsi="Arial" w:cs="Arial"/>
                <w:b/>
                <w:noProof/>
                <w:color w:val="000000"/>
                <w:kern w:val="0"/>
                <w:sz w:val="32"/>
                <w:lang w:eastAsia="en-GB"/>
                <w14:ligatures w14:val="none"/>
              </w:rPr>
            </w:pPr>
          </w:p>
          <w:p w14:paraId="7ABB97CE" w14:textId="77777777" w:rsidR="00483BB7" w:rsidRPr="00483BB7" w:rsidRDefault="00483BB7" w:rsidP="00483BB7">
            <w:pPr>
              <w:keepNext/>
              <w:spacing w:after="0" w:line="360" w:lineRule="auto"/>
              <w:ind w:firstLine="720"/>
              <w:jc w:val="right"/>
              <w:outlineLvl w:val="0"/>
              <w:rPr>
                <w:rFonts w:ascii="Arial" w:eastAsia="Times New Roman" w:hAnsi="Arial" w:cs="Arial"/>
                <w:b/>
                <w:noProof/>
                <w:color w:val="00205B"/>
                <w:kern w:val="0"/>
                <w:sz w:val="28"/>
                <w:lang w:eastAsia="en-GB"/>
                <w14:ligatures w14:val="none"/>
              </w:rPr>
            </w:pPr>
            <w:r w:rsidRPr="00483BB7">
              <w:rPr>
                <w:rFonts w:ascii="Arial" w:eastAsia="Times New Roman" w:hAnsi="Arial" w:cs="Arial"/>
                <w:b/>
                <w:noProof/>
                <w:color w:val="00205B"/>
                <w:kern w:val="0"/>
                <w:sz w:val="28"/>
                <w:lang w:eastAsia="en-GB"/>
                <w14:ligatures w14:val="none"/>
              </w:rPr>
              <w:t xml:space="preserve">ΔΕΛΤΙΟ ΤΥΠΟΥ </w:t>
            </w:r>
          </w:p>
          <w:p w14:paraId="09BBAB95" w14:textId="32952567" w:rsidR="00483BB7" w:rsidRPr="00483BB7" w:rsidRDefault="00483BB7" w:rsidP="00483BB7">
            <w:pPr>
              <w:keepNext/>
              <w:spacing w:after="0" w:line="360" w:lineRule="auto"/>
              <w:jc w:val="right"/>
              <w:outlineLvl w:val="0"/>
              <w:rPr>
                <w:rFonts w:ascii="Arial" w:eastAsia="Times New Roman" w:hAnsi="Arial" w:cs="Arial"/>
                <w:noProof/>
                <w:color w:val="000000"/>
                <w:kern w:val="0"/>
                <w:lang w:eastAsia="en-GB"/>
                <w14:ligatures w14:val="none"/>
              </w:rPr>
            </w:pPr>
            <w:r w:rsidRPr="00483BB7">
              <w:rPr>
                <w:rFonts w:ascii="Arial" w:eastAsia="Times New Roman" w:hAnsi="Arial" w:cs="Arial"/>
                <w:noProof/>
                <w:color w:val="00205B"/>
                <w:kern w:val="0"/>
                <w:lang w:eastAsia="en-GB"/>
                <w14:ligatures w14:val="none"/>
              </w:rPr>
              <w:t xml:space="preserve">Αθήνα, </w:t>
            </w:r>
            <w:r w:rsidR="007E561B">
              <w:rPr>
                <w:rFonts w:ascii="Arial" w:eastAsia="Times New Roman" w:hAnsi="Arial" w:cs="Arial"/>
                <w:noProof/>
                <w:color w:val="00205B"/>
                <w:kern w:val="0"/>
                <w:lang w:eastAsia="en-GB"/>
                <w14:ligatures w14:val="none"/>
              </w:rPr>
              <w:t>2</w:t>
            </w:r>
            <w:r w:rsidR="008E430A">
              <w:rPr>
                <w:rFonts w:ascii="Arial" w:eastAsia="Times New Roman" w:hAnsi="Arial" w:cs="Arial"/>
                <w:noProof/>
                <w:color w:val="00205B"/>
                <w:kern w:val="0"/>
                <w:lang w:eastAsia="en-GB"/>
                <w14:ligatures w14:val="none"/>
              </w:rPr>
              <w:t>0</w:t>
            </w:r>
            <w:r w:rsidRPr="00483BB7">
              <w:rPr>
                <w:rFonts w:ascii="Arial" w:eastAsia="Times New Roman" w:hAnsi="Arial" w:cs="Arial"/>
                <w:noProof/>
                <w:color w:val="00205B"/>
                <w:kern w:val="0"/>
                <w:lang w:eastAsia="en-GB"/>
                <w14:ligatures w14:val="none"/>
              </w:rPr>
              <w:t xml:space="preserve"> </w:t>
            </w:r>
            <w:r w:rsidR="008E430A">
              <w:rPr>
                <w:rFonts w:ascii="Arial" w:eastAsia="Times New Roman" w:hAnsi="Arial" w:cs="Arial"/>
                <w:noProof/>
                <w:color w:val="00205B"/>
                <w:kern w:val="0"/>
                <w:lang w:eastAsia="en-GB"/>
                <w14:ligatures w14:val="none"/>
              </w:rPr>
              <w:t>Αυγούστου</w:t>
            </w:r>
            <w:r w:rsidRPr="00483BB7">
              <w:rPr>
                <w:rFonts w:ascii="Arial" w:eastAsia="Times New Roman" w:hAnsi="Arial" w:cs="Arial"/>
                <w:noProof/>
                <w:color w:val="00205B"/>
                <w:kern w:val="0"/>
                <w:lang w:eastAsia="en-GB"/>
                <w14:ligatures w14:val="none"/>
              </w:rPr>
              <w:t xml:space="preserve"> </w:t>
            </w:r>
            <w:r w:rsidR="00DF00F4">
              <w:rPr>
                <w:rFonts w:ascii="Arial" w:eastAsia="Times New Roman" w:hAnsi="Arial" w:cs="Arial"/>
                <w:noProof/>
                <w:color w:val="00205B"/>
                <w:kern w:val="0"/>
                <w:lang w:eastAsia="en-GB"/>
                <w14:ligatures w14:val="none"/>
              </w:rPr>
              <w:t>2025</w:t>
            </w:r>
          </w:p>
        </w:tc>
      </w:tr>
    </w:tbl>
    <w:p w14:paraId="6EF8EB91" w14:textId="77777777" w:rsidR="00483BB7" w:rsidRPr="00483BB7" w:rsidRDefault="00483BB7" w:rsidP="00483BB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noProof/>
          <w:color w:val="000000"/>
          <w:kern w:val="0"/>
          <w:lang w:eastAsia="en-GB"/>
          <w14:ligatures w14:val="none"/>
        </w:rPr>
      </w:pPr>
    </w:p>
    <w:p w14:paraId="5E720A97" w14:textId="77777777" w:rsidR="00483BB7" w:rsidRPr="00483BB7" w:rsidRDefault="00483BB7" w:rsidP="00483BB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0"/>
          <w:lang w:eastAsia="en-GB"/>
          <w14:ligatures w14:val="none"/>
        </w:rPr>
      </w:pPr>
    </w:p>
    <w:p w14:paraId="3FD04608" w14:textId="77777777" w:rsidR="007F6FC9" w:rsidRDefault="00483BB7" w:rsidP="00483BB7">
      <w:pPr>
        <w:keepNext/>
        <w:tabs>
          <w:tab w:val="left" w:pos="4680"/>
          <w:tab w:val="left" w:pos="8100"/>
        </w:tabs>
        <w:spacing w:after="120" w:line="276" w:lineRule="auto"/>
        <w:ind w:right="-2"/>
        <w:jc w:val="both"/>
        <w:outlineLvl w:val="5"/>
        <w:rPr>
          <w:rFonts w:ascii="Arial" w:eastAsia="Times New Roman" w:hAnsi="Arial" w:cs="Arial"/>
          <w:b/>
          <w:color w:val="00205B"/>
          <w:kern w:val="0"/>
          <w:sz w:val="32"/>
          <w:szCs w:val="32"/>
          <w:lang w:eastAsia="el-GR"/>
          <w14:ligatures w14:val="none"/>
        </w:rPr>
      </w:pPr>
      <w:r w:rsidRPr="00483BB7">
        <w:rPr>
          <w:rFonts w:ascii="Arial" w:eastAsia="Times New Roman" w:hAnsi="Arial" w:cs="Arial"/>
          <w:b/>
          <w:color w:val="00205B"/>
          <w:kern w:val="0"/>
          <w:sz w:val="32"/>
          <w:szCs w:val="32"/>
          <w:lang w:eastAsia="el-GR"/>
          <w14:ligatures w14:val="none"/>
        </w:rPr>
        <w:t xml:space="preserve"> </w:t>
      </w:r>
    </w:p>
    <w:p w14:paraId="580D38DE" w14:textId="1EC8A415" w:rsidR="00483BB7" w:rsidRPr="009F1FA1" w:rsidRDefault="00483BB7" w:rsidP="00483BB7">
      <w:pPr>
        <w:keepNext/>
        <w:tabs>
          <w:tab w:val="left" w:pos="4680"/>
          <w:tab w:val="left" w:pos="8100"/>
        </w:tabs>
        <w:spacing w:after="120" w:line="276" w:lineRule="auto"/>
        <w:ind w:right="-2"/>
        <w:jc w:val="both"/>
        <w:outlineLvl w:val="5"/>
        <w:rPr>
          <w:rFonts w:ascii="Arial" w:eastAsia="Times New Roman" w:hAnsi="Arial" w:cs="Arial"/>
          <w:b/>
          <w:color w:val="00205B"/>
          <w:kern w:val="0"/>
          <w:sz w:val="32"/>
          <w:szCs w:val="32"/>
          <w:lang w:val="en-US" w:eastAsia="el-GR"/>
          <w14:ligatures w14:val="none"/>
        </w:rPr>
      </w:pPr>
      <w:r w:rsidRPr="00483BB7">
        <w:rPr>
          <w:rFonts w:ascii="Arial" w:eastAsia="Times New Roman" w:hAnsi="Arial" w:cs="Arial"/>
          <w:b/>
          <w:color w:val="00205B"/>
          <w:kern w:val="0"/>
          <w:sz w:val="32"/>
          <w:szCs w:val="32"/>
          <w:lang w:eastAsia="el-GR"/>
          <w14:ligatures w14:val="none"/>
        </w:rPr>
        <w:t xml:space="preserve">Ισοζύγιο Πληρωμών: </w:t>
      </w:r>
      <w:r w:rsidR="008E430A">
        <w:rPr>
          <w:rFonts w:ascii="Arial" w:eastAsia="Times New Roman" w:hAnsi="Arial" w:cs="Arial"/>
          <w:b/>
          <w:color w:val="00205B"/>
          <w:kern w:val="0"/>
          <w:sz w:val="32"/>
          <w:szCs w:val="32"/>
          <w:lang w:eastAsia="el-GR"/>
          <w14:ligatures w14:val="none"/>
        </w:rPr>
        <w:t>Ιούνιος</w:t>
      </w:r>
      <w:r w:rsidRPr="00483BB7">
        <w:rPr>
          <w:rFonts w:ascii="Arial" w:eastAsia="Times New Roman" w:hAnsi="Arial" w:cs="Arial"/>
          <w:b/>
          <w:color w:val="00205B"/>
          <w:kern w:val="0"/>
          <w:sz w:val="32"/>
          <w:szCs w:val="32"/>
          <w:lang w:eastAsia="el-GR"/>
          <w14:ligatures w14:val="none"/>
        </w:rPr>
        <w:t xml:space="preserve"> </w:t>
      </w:r>
      <w:r w:rsidR="00DF00F4">
        <w:rPr>
          <w:rFonts w:ascii="Arial" w:eastAsia="Times New Roman" w:hAnsi="Arial" w:cs="Arial"/>
          <w:b/>
          <w:color w:val="00205B"/>
          <w:kern w:val="0"/>
          <w:sz w:val="32"/>
          <w:szCs w:val="32"/>
          <w:lang w:eastAsia="el-GR"/>
          <w14:ligatures w14:val="none"/>
        </w:rPr>
        <w:t>2025</w:t>
      </w:r>
    </w:p>
    <w:p w14:paraId="0E4B79B6" w14:textId="77777777" w:rsidR="00483BB7" w:rsidRDefault="00483BB7" w:rsidP="00483BB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0"/>
          <w:lang w:eastAsia="el-GR"/>
          <w14:ligatures w14:val="none"/>
        </w:rPr>
      </w:pPr>
    </w:p>
    <w:p w14:paraId="3E765189" w14:textId="77777777" w:rsidR="007F6FC9" w:rsidRPr="00483BB7" w:rsidRDefault="007F6FC9" w:rsidP="00483BB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0"/>
          <w:lang w:eastAsia="el-GR"/>
          <w14:ligatures w14:val="none"/>
        </w:rPr>
      </w:pPr>
    </w:p>
    <w:p w14:paraId="00890586" w14:textId="6B7B96C1" w:rsidR="00483BB7" w:rsidRPr="00483BB7" w:rsidRDefault="008E430A" w:rsidP="00483BB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Τον </w:t>
      </w:r>
      <w:r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Ιούνιο </w:t>
      </w:r>
      <w:r w:rsidR="00483BB7"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τ</w:t>
      </w:r>
      <w:r w:rsidR="00483BB7" w:rsidRPr="00483BB7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ου </w:t>
      </w:r>
      <w:r w:rsidR="00DF00F4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2025</w:t>
      </w:r>
      <w:r w:rsidR="00C74F8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 ισοζ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ύ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γ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ιο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τρεχουσών συναλλαγών 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κατέγραψε </w:t>
      </w:r>
      <w:r w:rsidR="007C537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έλλειμμα</w:t>
      </w:r>
      <w:r w:rsidR="002D494E" w:rsidRPr="0057045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έναντι </w:t>
      </w:r>
      <w:r w:rsidR="007C537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πλεονάσματος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τον αντίστοιχο μήνα του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, λόγω της </w:t>
      </w:r>
      <w:r w:rsidR="007C537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επιδείνωσης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</w:t>
      </w:r>
      <w:r w:rsidR="007C537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ων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ισοζυγί</w:t>
      </w:r>
      <w:r w:rsidR="007C537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ων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7C537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αγαθών, 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πρωτογενών </w:t>
      </w:r>
      <w:r w:rsidR="007C537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και δευτερογενών 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εισοδημάτων</w:t>
      </w:r>
      <w:r w:rsidR="007C537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 ενώ το ισοζύγιο υπηρεσιών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7C537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κατέγραψε μικρή βελτίωση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23A5A752" w14:textId="6F3C74E8" w:rsidR="00483BB7" w:rsidRDefault="008E430A" w:rsidP="00483BB7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 </w:t>
      </w:r>
      <w:r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πρώτο εξάμηνο</w:t>
      </w:r>
      <w:r w:rsid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 του</w:t>
      </w:r>
      <w:r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 </w:t>
      </w:r>
      <w:r w:rsidR="00DF00F4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2025</w:t>
      </w:r>
      <w:r w:rsidR="00C74F8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 έλλειμμα του ισοζυγίου τρεχουσών συναλλαγών </w:t>
      </w:r>
      <w:r w:rsidR="000959D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μειώθηκε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σε σχέση με το </w:t>
      </w:r>
      <w:r w:rsidR="0048207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ίδιο διάστημα του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, λόγω της </w:t>
      </w:r>
      <w:r w:rsidR="000959D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βελτίωσης</w:t>
      </w:r>
      <w:r w:rsidR="00913E3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όλων των επιμέρους ισοζυγίων και κυρίως 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</w:t>
      </w:r>
      <w:r w:rsidR="003C1E3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ου ισοζυγίου </w:t>
      </w:r>
      <w:r w:rsidR="00AF68B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αγαθών</w:t>
      </w:r>
      <w:r w:rsidR="003C1E3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και, σε μικρότερο βαθμό, τ</w:t>
      </w:r>
      <w:r w:rsidR="00C74F8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ων</w:t>
      </w:r>
      <w:r w:rsidR="003C1E3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ισοζυγί</w:t>
      </w:r>
      <w:r w:rsidR="00C74F8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ων</w:t>
      </w:r>
      <w:r w:rsidR="003C1E3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AF68B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πρωτογενών </w:t>
      </w:r>
      <w:r w:rsidR="00913E3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και δευτερογενών </w:t>
      </w:r>
      <w:r w:rsidR="00AF68B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εισοδημάτων</w:t>
      </w:r>
      <w:r w:rsidR="00913E3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και υπηρεσιών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14FD4BA8" w14:textId="77777777" w:rsidR="00AD401D" w:rsidRPr="00483BB7" w:rsidRDefault="00AD401D" w:rsidP="00AD401D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</w:p>
    <w:p w14:paraId="0BC08E1F" w14:textId="6C680FF8" w:rsidR="00483BB7" w:rsidRDefault="00483BB7" w:rsidP="00483BB7">
      <w:pPr>
        <w:keepNext/>
        <w:tabs>
          <w:tab w:val="left" w:pos="4680"/>
          <w:tab w:val="left" w:pos="8100"/>
        </w:tabs>
        <w:spacing w:after="120" w:line="276" w:lineRule="auto"/>
        <w:ind w:right="-2"/>
        <w:jc w:val="both"/>
        <w:outlineLvl w:val="5"/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</w:pPr>
      <w:r w:rsidRPr="00483BB7"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  <w:t>Ισοζύγιο Τρεχουσών Συναλλαγών</w:t>
      </w:r>
    </w:p>
    <w:p w14:paraId="3C48D55B" w14:textId="77777777" w:rsidR="00387262" w:rsidRPr="00483BB7" w:rsidRDefault="00387262" w:rsidP="00483BB7">
      <w:pPr>
        <w:keepNext/>
        <w:tabs>
          <w:tab w:val="left" w:pos="4680"/>
          <w:tab w:val="left" w:pos="8100"/>
        </w:tabs>
        <w:spacing w:after="120" w:line="276" w:lineRule="auto"/>
        <w:ind w:right="-2"/>
        <w:jc w:val="both"/>
        <w:outlineLvl w:val="5"/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</w:pPr>
    </w:p>
    <w:p w14:paraId="7518EBDA" w14:textId="2B9ADAE7" w:rsidR="00483BB7" w:rsidRPr="00483BB7" w:rsidRDefault="008E430A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Τον </w:t>
      </w:r>
      <w:r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Ιούνιο </w:t>
      </w:r>
      <w:r w:rsidR="00483BB7" w:rsidRPr="00483BB7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του </w:t>
      </w:r>
      <w:r w:rsidR="00DF00F4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2025</w:t>
      </w:r>
      <w:r w:rsidR="00C74F8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 ισοζ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ύγιο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τρεχουσών συναλλαγών 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κατέγραψε </w:t>
      </w:r>
      <w:r w:rsidR="00913E3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έλλειμμα</w:t>
      </w:r>
      <w:r w:rsidR="00B81B36" w:rsidRPr="0057045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B81B3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ύψους </w:t>
      </w:r>
      <w:r w:rsidR="00913E3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1,2</w:t>
      </w:r>
      <w:r w:rsidR="00B81B3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913E3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δισεκ</w:t>
      </w:r>
      <w:r w:rsidR="00B81B36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 ευρώ</w:t>
      </w:r>
      <w:r w:rsidR="00B81B36" w:rsidRPr="0057045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96045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έναντι </w:t>
      </w:r>
      <w:r w:rsidR="00913E3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πλεονάσματος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9174D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</w:t>
      </w: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ον 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αντίστοιχο μήνα</w:t>
      </w: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του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581CEF4F" w14:textId="3BF1B67C" w:rsidR="00483BB7" w:rsidRPr="00483BB7" w:rsidRDefault="00BD36BD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 έλλειμμα 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του ισοζυγίου αγαθών </w:t>
      </w:r>
      <w:r w:rsidR="00913E3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διευρύνθηκε</w:t>
      </w:r>
      <w:r w:rsidR="001129E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4D3AE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λόγω της 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μείωσης</w:t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των εξαγωγών και </w:t>
      </w:r>
      <w:r w:rsidR="00752CB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τη</w:t>
      </w:r>
      <w:r w:rsidR="001A67C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ς</w:t>
      </w:r>
      <w:r w:rsidR="00752CB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αύξησης</w:t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των</w:t>
      </w:r>
      <w:r w:rsidR="004D3AED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C974D5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</w:t>
      </w:r>
      <w:r w:rsidR="00C974D5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ισ</w:t>
      </w:r>
      <w:r w:rsidR="00C974D5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αγωγών</w:t>
      </w:r>
      <w:r w:rsidR="00483BB7" w:rsidRPr="00AB4C2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. </w:t>
      </w:r>
      <w:r w:rsidR="00F4671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Σ</w:t>
      </w:r>
      <w:r w:rsidR="00F4671E" w:rsidRPr="00AB4C2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 τρέχουσες τιμές</w:t>
      </w:r>
      <w:r w:rsidR="00F4671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F4671E" w:rsidRPr="00AB4C2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F4671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ο</w:t>
      </w:r>
      <w:r w:rsidR="00483BB7" w:rsidRPr="00AB4C2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ι </w:t>
      </w:r>
      <w:r w:rsidR="00483BB7" w:rsidRPr="00D0691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εξαγωγές</w:t>
      </w:r>
      <w:r w:rsidR="00483BB7" w:rsidRPr="00AB4C2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D0691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αγαθών 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μειώθηκαν</w:t>
      </w:r>
      <w:r w:rsidR="00483BB7" w:rsidRPr="00AB4C2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κατά 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7,7</w:t>
      </w:r>
      <w:r w:rsidR="00483BB7" w:rsidRPr="00AB4C2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% (</w:t>
      </w:r>
      <w:r w:rsidR="009233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noBreakHyphen/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2,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1</w:t>
      </w:r>
      <w:r w:rsidR="00483BB7" w:rsidRPr="00AB4C2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% σε σταθερές τιμές)</w:t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 ενώ</w:t>
      </w:r>
      <w:r w:rsidR="00483BB7" w:rsidRPr="00AB4C2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οι </w:t>
      </w:r>
      <w:r w:rsidR="00483BB7" w:rsidRPr="00D0691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εισαγωγές</w:t>
      </w:r>
      <w:r w:rsidR="00483BB7" w:rsidRPr="00AB4C2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D0691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αγαθών 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αυξή</w:t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θηκαν </w:t>
      </w:r>
      <w:r w:rsidR="00F77EA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κατά 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5,5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% </w:t>
      </w:r>
      <w:r w:rsidR="00483BB7" w:rsidRPr="007C1D2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(</w:t>
      </w:r>
      <w:r w:rsidR="00512E79" w:rsidRPr="00512E7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8,4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% σε σταθερές τιμές). Ειδικότερα, </w:t>
      </w:r>
      <w:r w:rsidR="00F4671E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σε τρέχουσες τιμές 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οι εξαγωγές αγαθών χωρίς καύσιμα </w:t>
      </w:r>
      <w:r w:rsidR="00F11E7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αυξήθηκαν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κατά 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2,6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% (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5,8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% σε σταθερές τιμές)</w:t>
      </w:r>
      <w:r w:rsidR="007B5C65" w:rsidRPr="006E229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7B5C65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και 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οι </w:t>
      </w:r>
      <w:r w:rsidR="007B5C65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αντίστοιχες 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εισαγωγές </w:t>
      </w:r>
      <w:r w:rsidR="00454481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κατά</w:t>
      </w:r>
      <w:r w:rsidR="005C615E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9</w:t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,5</w:t>
      </w:r>
      <w:r w:rsidR="00483BB7" w:rsidRPr="00BE333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%</w:t>
      </w:r>
      <w:r w:rsidR="00863D5C" w:rsidRPr="00BE333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483BB7" w:rsidRPr="00BE333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(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8,</w:t>
      </w:r>
      <w:r w:rsidR="00512E79" w:rsidRPr="00512E7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8</w:t>
      </w:r>
      <w:r w:rsidR="00483BB7" w:rsidRPr="00BE333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% σε σταθερές τιμές).</w:t>
      </w:r>
    </w:p>
    <w:p w14:paraId="69159B83" w14:textId="2C1D8352" w:rsidR="00483BB7" w:rsidRPr="00483BB7" w:rsidRDefault="00BD36BD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 πλεόνασμα του 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ισοζυγίου υπηρεσιών </w:t>
      </w:r>
      <w:r w:rsidR="00EC58A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κατέγραψε </w:t>
      </w:r>
      <w:r w:rsidR="00A6397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άνοδο</w:t>
      </w:r>
      <w:r w:rsidR="00177CA2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EC58A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D7587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πρωτίστως</w:t>
      </w:r>
      <w:r w:rsidR="0042285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χάρη στη</w:t>
      </w:r>
      <w:r w:rsidR="00444C4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EC58A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βελτίωση</w:t>
      </w:r>
      <w:r w:rsidR="009579F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του </w:t>
      </w:r>
      <w:r w:rsidR="009579F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ισοζυγίου </w:t>
      </w:r>
      <w:r w:rsidR="00444C4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ταξιδιωτικών υπηρεσιών</w:t>
      </w:r>
      <w:r w:rsidR="009A255E" w:rsidRPr="0056705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και</w:t>
      </w:r>
      <w:r w:rsidR="00186D7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, σε μικρότερο βαθμό, </w:t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του ισοζυγίου </w:t>
      </w:r>
      <w:r w:rsidR="00186D7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λοιπών υπηρεσιών</w:t>
      </w:r>
      <w:r w:rsidR="00F11E7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186D7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ενώ το ισοζύγιο </w:t>
      </w:r>
      <w:r w:rsidR="009A255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μεταφορών</w:t>
      </w:r>
      <w:r w:rsidR="00186D7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επιδεινώθηκε</w:t>
      </w:r>
      <w:r w:rsidR="00887F1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49048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Σ</w:t>
      </w:r>
      <w:r w:rsidR="0049048D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ε σχέση με </w:t>
      </w:r>
      <w:r w:rsidR="00657D1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</w:t>
      </w:r>
      <w:r w:rsidR="008E430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ον Ιούνιο</w:t>
      </w:r>
      <w:r w:rsidR="00657D1A" w:rsidRPr="00657D1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49048D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του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="0049048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 ο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ι αφίξεις μη κατοίκων ταξιδιωτών </w:t>
      </w:r>
      <w:r w:rsidR="008D7E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μειώθηκαν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κατά </w:t>
      </w:r>
      <w:r w:rsidR="008D7E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1,7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%</w:t>
      </w:r>
      <w:r w:rsidR="007B5C65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 ενώ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οι σχετικές εισπράξεις </w:t>
      </w:r>
      <w:r w:rsidR="007B5C65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αυξήθηκαν 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κατά </w:t>
      </w:r>
      <w:r w:rsidR="00186D7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8,8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%.</w:t>
      </w:r>
    </w:p>
    <w:p w14:paraId="7CFBED6B" w14:textId="1E60ABC0" w:rsidR="00483BB7" w:rsidRDefault="00483BB7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Το</w:t>
      </w:r>
      <w:r w:rsidR="00B9172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έλλειμμα του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607D9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ισοζ</w:t>
      </w:r>
      <w:r w:rsidR="00B9172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υγίου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πρωτογενών εισοδημάτων </w:t>
      </w:r>
      <w:r w:rsidR="0022650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διευρύνθηκε</w:t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3D627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σε</w:t>
      </w:r>
      <w:r w:rsidR="00481BB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σχέση με</w:t>
      </w:r>
      <w:r w:rsidR="00184C2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τον αντίστοιχο μήνα του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, </w:t>
      </w:r>
      <w:r w:rsidR="007437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αντανακλώντας </w:t>
      </w:r>
      <w:r w:rsidR="000A0A5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κυρίως </w:t>
      </w:r>
      <w:r w:rsidR="00585CE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τη</w:t>
      </w:r>
      <w:r w:rsidR="0022650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μείωση</w:t>
      </w:r>
      <w:r w:rsidR="00F1775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585CE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των καθαρών εισπράξεων από λοιπά </w:t>
      </w:r>
      <w:r w:rsidR="00585CE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lastRenderedPageBreak/>
        <w:t>πρωτογενή εισοδήματα</w:t>
      </w:r>
      <w:r w:rsidR="0022650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και, σε μικρότερο βαθμό, την αύξηση των </w:t>
      </w:r>
      <w:r w:rsidR="00585CE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καθαρών πληρωμών</w:t>
      </w:r>
      <w:r w:rsidR="00585CE6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για τόκους, μερίσματα και κέρδη</w:t>
      </w:r>
      <w:r w:rsidR="00585CE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. 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 </w:t>
      </w:r>
      <w:r w:rsidR="00D147F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έλλειμμα</w:t>
      </w:r>
      <w:r w:rsidR="0011111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του 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ισοζ</w:t>
      </w:r>
      <w:r w:rsidR="0011111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υγίου</w:t>
      </w:r>
      <w:r w:rsidR="00184C2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δευτερογενών εισοδημάτων </w:t>
      </w:r>
      <w:r w:rsidR="0022650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υπερδιπλασιάστηκε</w:t>
      </w:r>
      <w:r w:rsidR="00585CE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D147F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σε σχέση με </w:t>
      </w:r>
      <w:r w:rsidR="009174D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</w:t>
      </w:r>
      <w:r w:rsidR="008E430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ον Ιούνιο 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του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, </w:t>
      </w:r>
      <w:r w:rsidR="00E613F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ως αποτέλεσμα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8A33E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της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22650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αύξησης</w:t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των </w:t>
      </w:r>
      <w:r w:rsidR="00D6385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καθαρών </w:t>
      </w:r>
      <w:r w:rsidR="00914B5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πληρωμών</w:t>
      </w:r>
      <w:r w:rsidR="008A33E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στο</w:t>
      </w:r>
      <w:r w:rsidR="0022650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ν τομέα της</w:t>
      </w:r>
      <w:r w:rsidR="004D1A1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γενικής κυβέρνησης</w:t>
      </w:r>
      <w:r w:rsidR="00C8106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2E0F6F5C" w14:textId="77777777" w:rsidR="009040F0" w:rsidRPr="002C2D98" w:rsidRDefault="009040F0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</w:p>
    <w:p w14:paraId="3199E136" w14:textId="6D5427CE" w:rsidR="00D3120F" w:rsidRDefault="008E430A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 </w:t>
      </w:r>
      <w:r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πρώτο εξάμηνο</w:t>
      </w:r>
      <w:r w:rsidR="009174D6"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 του</w:t>
      </w:r>
      <w:r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 </w:t>
      </w:r>
      <w:r w:rsidR="00DF00F4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2025</w:t>
      </w:r>
      <w:r w:rsidR="00C74F8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483BB7" w:rsidRPr="002C2D9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 έλλειμμα του ισοζυγίου τρεχουσών συναλλαγών </w:t>
      </w:r>
      <w:r w:rsidR="00913E3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μειώθηκε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κατά 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69</w:t>
      </w:r>
      <w:r w:rsidR="00913E3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2,7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 </w:t>
      </w:r>
      <w:r w:rsidR="008A083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εκ</w:t>
      </w:r>
      <w:r w:rsidR="008852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ατ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. ευρώ </w:t>
      </w:r>
      <w:r w:rsidR="00687C3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έναντι της αντίστοιχης περιόδου</w:t>
      </w:r>
      <w:r w:rsidR="00914B5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του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και διαμορφώθηκε σε </w:t>
      </w:r>
      <w:r w:rsidR="00913E3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7,6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 δισεκ. ευρώ.</w:t>
      </w:r>
      <w:r w:rsidR="0091747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</w:p>
    <w:p w14:paraId="347EDE42" w14:textId="6D819F4C" w:rsidR="00483BB7" w:rsidRPr="00483BB7" w:rsidRDefault="004D3AED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Το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έλλειμμα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του ισοζυγίου αγαθών </w:t>
      </w:r>
      <w:r w:rsidR="00F20BB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μειώθηκε</w:t>
      </w:r>
      <w:r w:rsidR="003315C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, καθώς η μείωση των εισαγωγών υπερέβη </w:t>
      </w:r>
      <w:r w:rsidR="00DE55F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αυτή</w:t>
      </w:r>
      <w:r w:rsidR="003315C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των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εξαγωγών σε απόλυτους όρους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. </w:t>
      </w:r>
      <w:r w:rsidR="00F4671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Σε τρέχουσες τιμές, </w:t>
      </w:r>
      <w:r w:rsidR="00F4671E" w:rsidRPr="0027326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ο</w:t>
      </w:r>
      <w:r w:rsidR="00483BB7" w:rsidRPr="0027326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ι εξαγωγές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D0691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αγαθών </w:t>
      </w:r>
      <w:r w:rsidR="00AC1902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μειώθηκαν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κατά 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4,8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% (</w:t>
      </w:r>
      <w:r w:rsidR="00B4747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+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0,3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% σε </w:t>
      </w:r>
      <w:r w:rsidR="00483BB7" w:rsidRPr="00ED4C6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σταθερές τιμές)</w:t>
      </w:r>
      <w:r w:rsidR="00F4671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και</w:t>
      </w:r>
      <w:r w:rsidR="00483BB7" w:rsidRPr="00ED4C6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οι </w:t>
      </w:r>
      <w:r w:rsidR="00483BB7" w:rsidRPr="0027326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εισαγωγές</w:t>
      </w:r>
      <w:r w:rsidR="00483BB7" w:rsidRPr="00ED4C6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27326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αγαθών 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μειώ</w:t>
      </w:r>
      <w:r w:rsidR="00F924B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θηκαν </w:t>
      </w:r>
      <w:r w:rsidR="00483BB7" w:rsidRPr="00ED4C6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κατά </w:t>
      </w:r>
      <w:r w:rsidR="007C622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3,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8</w:t>
      </w:r>
      <w:r w:rsidR="00483BB7" w:rsidRPr="00ED4C6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% </w:t>
      </w:r>
      <w:r w:rsidR="00483BB7" w:rsidRPr="008C228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(</w:t>
      </w:r>
      <w:r w:rsidR="009E5CD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-2,</w:t>
      </w:r>
      <w:r w:rsidR="00512E79" w:rsidRPr="00512E7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3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% σε σταθερές τιμές). Ειδικότερα, σε τρέχουσες τιμές οι εξαγωγές αγαθών χωρίς καύσιμα </w:t>
      </w:r>
      <w:r w:rsidR="00186D7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αυξήθηκαν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κατά </w:t>
      </w:r>
      <w:r w:rsidR="00186D7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4,3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% </w:t>
      </w:r>
      <w:r w:rsidR="00044DE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και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οι αντίστοιχες εισαγωγές κατά </w:t>
      </w:r>
      <w:r w:rsidR="00186D7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3,7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% (</w:t>
      </w:r>
      <w:r w:rsidR="00186D7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6,6</w:t>
      </w:r>
      <w:r w:rsidR="00483BB7" w:rsidRPr="00CE371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% και </w:t>
      </w:r>
      <w:r w:rsidR="00186D7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2,</w:t>
      </w:r>
      <w:r w:rsidR="00512E79" w:rsidRPr="00512E7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8</w:t>
      </w:r>
      <w:r w:rsidR="00483BB7" w:rsidRPr="00ED4C6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% σε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σταθερές τιμές αντίστοιχα).</w:t>
      </w:r>
    </w:p>
    <w:p w14:paraId="02214E51" w14:textId="160514CD" w:rsidR="00483BB7" w:rsidRPr="00483BB7" w:rsidRDefault="004D3AED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Το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πλε</w:t>
      </w: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όνασμα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του ισοζυγίου </w:t>
      </w:r>
      <w:r w:rsidR="00483BB7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υπηρεσιών </w:t>
      </w:r>
      <w:r w:rsidR="00186D7F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κατέγραψε μικρή </w:t>
      </w:r>
      <w:r w:rsidR="001B5559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άνοδο</w:t>
      </w:r>
      <w:r w:rsidR="002D494E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0A0A5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κυρίως </w:t>
      </w:r>
      <w:r w:rsidR="00724A21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λόγω της βελτίωσης του ισοζυγίου ταξιδιωτικών υπηρεσιών και</w:t>
      </w:r>
      <w:r w:rsidR="001B5559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 σε μικρότερο βαθμό, του ισοζυγίου λοιπών υπηρεσιών</w:t>
      </w:r>
      <w:r w:rsidR="00226501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 η οποία αντισταθμίστηκε σε μεγάλο βαθμό από την επιδείνωση</w:t>
      </w:r>
      <w:r w:rsidR="00276D6F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226501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του</w:t>
      </w:r>
      <w:r w:rsidR="00724A21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ισοζυγίου μεταφορών</w:t>
      </w:r>
      <w:r w:rsidR="00483BB7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. </w:t>
      </w:r>
      <w:r w:rsidR="0049048D" w:rsidRPr="006D6241">
        <w:rPr>
          <w:rFonts w:ascii="Arial" w:eastAsia="Times New Roman" w:hAnsi="Arial" w:cs="Arial"/>
          <w:kern w:val="0"/>
          <w:lang w:eastAsia="el-GR"/>
          <w14:ligatures w14:val="none"/>
        </w:rPr>
        <w:t xml:space="preserve">Σε σχέση με </w:t>
      </w:r>
      <w:r w:rsidR="000E01AE" w:rsidRPr="006D6241">
        <w:rPr>
          <w:rFonts w:ascii="Arial" w:eastAsia="Times New Roman" w:hAnsi="Arial" w:cs="Arial"/>
          <w:kern w:val="0"/>
          <w:lang w:eastAsia="el-GR"/>
          <w14:ligatures w14:val="none"/>
        </w:rPr>
        <w:t xml:space="preserve">το </w:t>
      </w:r>
      <w:r w:rsidR="00914B54" w:rsidRPr="006D6241">
        <w:rPr>
          <w:rFonts w:ascii="Arial" w:eastAsia="Times New Roman" w:hAnsi="Arial" w:cs="Arial"/>
          <w:kern w:val="0"/>
          <w:lang w:eastAsia="el-GR"/>
          <w14:ligatures w14:val="none"/>
        </w:rPr>
        <w:t xml:space="preserve">πρώτο </w:t>
      </w:r>
      <w:r w:rsidR="007C622C" w:rsidRPr="006D6241">
        <w:rPr>
          <w:rFonts w:ascii="Arial" w:eastAsia="Times New Roman" w:hAnsi="Arial" w:cs="Arial"/>
          <w:kern w:val="0"/>
          <w:lang w:eastAsia="el-GR"/>
          <w14:ligatures w14:val="none"/>
        </w:rPr>
        <w:t>εξά</w:t>
      </w:r>
      <w:r w:rsidR="00914B54" w:rsidRPr="006D6241">
        <w:rPr>
          <w:rFonts w:ascii="Arial" w:eastAsia="Times New Roman" w:hAnsi="Arial" w:cs="Arial"/>
          <w:kern w:val="0"/>
          <w:lang w:eastAsia="el-GR"/>
          <w14:ligatures w14:val="none"/>
        </w:rPr>
        <w:t xml:space="preserve">μηνο του </w:t>
      </w:r>
      <w:r w:rsidR="00DF00F4" w:rsidRPr="006D6241">
        <w:rPr>
          <w:rFonts w:ascii="Arial" w:eastAsia="Times New Roman" w:hAnsi="Arial" w:cs="Arial"/>
          <w:kern w:val="0"/>
          <w:lang w:eastAsia="el-GR"/>
          <w14:ligatures w14:val="none"/>
        </w:rPr>
        <w:t>2024</w:t>
      </w:r>
      <w:r w:rsidR="0049048D" w:rsidRPr="006D6241">
        <w:rPr>
          <w:rFonts w:ascii="Arial" w:eastAsia="Times New Roman" w:hAnsi="Arial" w:cs="Arial"/>
          <w:kern w:val="0"/>
          <w:lang w:eastAsia="el-GR"/>
          <w14:ligatures w14:val="none"/>
        </w:rPr>
        <w:t>,</w:t>
      </w:r>
      <w:r w:rsidR="0049048D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ο</w:t>
      </w:r>
      <w:r w:rsidR="00483BB7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ι αφίξεις μη κατοίκων ταξιδιωτών </w:t>
      </w:r>
      <w:r w:rsidR="003315CE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αυξήθηκαν ελαφρώς</w:t>
      </w:r>
      <w:r w:rsidR="00483BB7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κατά </w:t>
      </w:r>
      <w:r w:rsidR="008D7E19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0,6</w:t>
      </w:r>
      <w:r w:rsidR="00483BB7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% και οι </w:t>
      </w:r>
      <w:r w:rsidR="00483BB7" w:rsidRPr="006D6241">
        <w:rPr>
          <w:rFonts w:ascii="Arial" w:eastAsia="Times New Roman" w:hAnsi="Arial" w:cs="Arial"/>
          <w:kern w:val="0"/>
          <w:lang w:eastAsia="el-GR"/>
          <w14:ligatures w14:val="none"/>
        </w:rPr>
        <w:t xml:space="preserve">σχετικές εισπράξεις κατά </w:t>
      </w:r>
      <w:r w:rsidR="00C8106A" w:rsidRPr="006D6241">
        <w:rPr>
          <w:rFonts w:ascii="Arial" w:eastAsia="Times New Roman" w:hAnsi="Arial" w:cs="Arial"/>
          <w:kern w:val="0"/>
          <w:lang w:eastAsia="el-GR"/>
          <w14:ligatures w14:val="none"/>
        </w:rPr>
        <w:t>1</w:t>
      </w:r>
      <w:r w:rsidR="00226501" w:rsidRPr="006D6241">
        <w:rPr>
          <w:rFonts w:ascii="Arial" w:eastAsia="Times New Roman" w:hAnsi="Arial" w:cs="Arial"/>
          <w:kern w:val="0"/>
          <w:lang w:eastAsia="el-GR"/>
          <w14:ligatures w14:val="none"/>
        </w:rPr>
        <w:t>1,0</w:t>
      </w:r>
      <w:r w:rsidR="00483BB7" w:rsidRPr="00483BB7">
        <w:rPr>
          <w:rFonts w:ascii="Arial" w:eastAsia="Times New Roman" w:hAnsi="Arial" w:cs="Arial"/>
          <w:kern w:val="0"/>
          <w:lang w:eastAsia="el-GR"/>
          <w14:ligatures w14:val="none"/>
        </w:rPr>
        <w:t>%.</w:t>
      </w:r>
    </w:p>
    <w:p w14:paraId="52C61FB7" w14:textId="4EB3BCDF" w:rsidR="00483BB7" w:rsidRPr="00483BB7" w:rsidRDefault="00483BB7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Το</w:t>
      </w:r>
      <w:r w:rsidR="00C8106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έλλειμμα του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Pr="00B162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ισοζ</w:t>
      </w:r>
      <w:r w:rsidR="00C8106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υγίου</w:t>
      </w:r>
      <w:r w:rsidRPr="00B162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πρωτογενών εισοδημάτων </w:t>
      </w:r>
      <w:r w:rsidR="00270873" w:rsidRPr="00390B1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κατέγραψε</w:t>
      </w:r>
      <w:r w:rsidR="0027087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μείωση</w:t>
      </w:r>
      <w:r w:rsidR="002D494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C8106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σε σχέση με</w:t>
      </w:r>
      <w:r w:rsidR="00C84ED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914B5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τη</w:t>
      </w:r>
      <w:r w:rsidR="00C84ED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ν</w:t>
      </w:r>
      <w:r w:rsidR="00914B5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C84ED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αντίστοιχη </w:t>
      </w:r>
      <w:r w:rsidR="00914B5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περ</w:t>
      </w:r>
      <w:r w:rsidR="00C84ED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ίοδο</w:t>
      </w:r>
      <w:r w:rsidR="00914B5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του</w:t>
      </w:r>
      <w:r w:rsidR="00C9649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="007B28A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914B5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6A2DB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αντανακλώντας </w:t>
      </w:r>
      <w:r w:rsidR="00BA0BE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κυρίως </w:t>
      </w:r>
      <w:r w:rsidR="006A2DB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την </w:t>
      </w:r>
      <w:r w:rsidR="0027087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αύξηση</w:t>
      </w:r>
      <w:r w:rsidRPr="00B162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των καθαρών </w:t>
      </w:r>
      <w:r w:rsidR="00914B5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εισπράξεων </w:t>
      </w:r>
      <w:r w:rsidR="008039D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από</w:t>
      </w:r>
      <w:r w:rsidR="00914B5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λοιπά πρωτογενή εισοδήματα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. Το </w:t>
      </w:r>
      <w:r w:rsidR="00914B5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πλεόνασμα του ισοζυγίου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δευτερογενών εισοδημάτων </w:t>
      </w:r>
      <w:r w:rsidR="0027087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αυξήθηκε</w:t>
      </w:r>
      <w:r w:rsidR="00914B5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έναντι της αντίστοιχης περιόδου του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, λόγω της </w:t>
      </w:r>
      <w:r w:rsidR="0027087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μείωσης των καθαρών πληρωμών στον τομέα της γενικής κυβέρνησης, η οποία αντισταθμίστηκε εν μέρει από τη μείωση</w:t>
      </w:r>
      <w:r w:rsidR="00276D6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27087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των</w:t>
      </w:r>
      <w:r w:rsidR="002B29D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καθαρών εισπράξεων</w:t>
      </w:r>
      <w:r w:rsidR="002B29DA" w:rsidRPr="002B29D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2B29D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στους λοιπούς, εκτός της γενικής κυβέρνησης, τομείς</w:t>
      </w:r>
      <w:r w:rsidR="002B29DA" w:rsidRPr="00DD296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2B29D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της οικονομίας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15BB825B" w14:textId="77777777" w:rsidR="00483BB7" w:rsidRPr="00483BB7" w:rsidRDefault="00483BB7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</w:pPr>
    </w:p>
    <w:p w14:paraId="5584A37D" w14:textId="7BF7DBF6" w:rsidR="00483BB7" w:rsidRPr="00483BB7" w:rsidRDefault="00483BB7" w:rsidP="00483BB7">
      <w:pPr>
        <w:keepNext/>
        <w:tabs>
          <w:tab w:val="left" w:pos="4680"/>
          <w:tab w:val="left" w:pos="8100"/>
        </w:tabs>
        <w:spacing w:after="120" w:line="276" w:lineRule="auto"/>
        <w:ind w:right="-2"/>
        <w:jc w:val="both"/>
        <w:outlineLvl w:val="5"/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</w:pPr>
      <w:r w:rsidRPr="00483BB7"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  <w:t xml:space="preserve">Ισοζύγιο </w:t>
      </w:r>
      <w:r w:rsidR="00C317CF" w:rsidRPr="00483BB7"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  <w:t>Κεφαλαίων</w:t>
      </w:r>
    </w:p>
    <w:p w14:paraId="69DB38B7" w14:textId="77777777" w:rsidR="009040F0" w:rsidRDefault="009040F0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</w:p>
    <w:p w14:paraId="5C80E8B8" w14:textId="5347394C" w:rsidR="00483BB7" w:rsidRDefault="008E430A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Τον </w:t>
      </w:r>
      <w:r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Ιούνιο </w:t>
      </w:r>
      <w:r w:rsidR="00483BB7" w:rsidRPr="00483BB7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του </w:t>
      </w:r>
      <w:r w:rsidR="00DF00F4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2025</w:t>
      </w:r>
      <w:r w:rsidR="00C74F8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 ισοζ</w:t>
      </w:r>
      <w:r w:rsidR="00617D6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ύγιο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483BB7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κεφαλαίω</w:t>
      </w:r>
      <w:r w:rsidR="0022242D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ν</w:t>
      </w:r>
      <w:r w:rsidR="00483BB7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390B1F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παρουσίασε</w:t>
      </w:r>
      <w:r w:rsidR="00617D6A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270873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έλλειμμα</w:t>
      </w:r>
      <w:r w:rsidR="00470D87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ύψους </w:t>
      </w:r>
      <w:r w:rsidR="00270873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19,4</w:t>
      </w:r>
      <w:r w:rsidR="00470D87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εκατ. ευρώ</w:t>
      </w:r>
      <w:r w:rsidR="002D494E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617D6A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έναντι </w:t>
      </w:r>
      <w:r w:rsidR="00270873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πλεονάσματος</w:t>
      </w:r>
      <w:r w:rsidR="002C4AEA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5F67E0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τον αντίστοιχο μήνα του </w:t>
      </w:r>
      <w:r w:rsidR="00DF00F4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="00B2655E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483BB7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E613FD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αντανακλώντας </w:t>
      </w:r>
      <w:r w:rsidR="00A756DE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την καταγραφή καθαρών </w:t>
      </w:r>
      <w:r w:rsidR="000F1E13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πληρωμών</w:t>
      </w:r>
      <w:r w:rsidR="00A756DE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έναντι καθαρών </w:t>
      </w:r>
      <w:r w:rsidR="000F1E13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εισπράξεων</w:t>
      </w:r>
      <w:r w:rsidR="00A756D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στους λοιπούς, εκτός της γενικής κυβέρνησης, τομείς της οικονομίας</w:t>
      </w:r>
      <w:r w:rsidR="005F67E0" w:rsidRPr="0005658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5091C465" w14:textId="5395F2CC" w:rsidR="009040F0" w:rsidRPr="00483BB7" w:rsidRDefault="009040F0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</w:p>
    <w:p w14:paraId="586CD3C7" w14:textId="17FA8291" w:rsidR="00483BB7" w:rsidRPr="00483BB7" w:rsidRDefault="008E430A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 </w:t>
      </w:r>
      <w:r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πρώτο εξάμηνο </w:t>
      </w:r>
      <w:r w:rsid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του </w:t>
      </w:r>
      <w:r w:rsidR="00DF00F4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2025</w:t>
      </w:r>
      <w:r w:rsidR="00C74F8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 ισο</w:t>
      </w:r>
      <w:r w:rsidR="00FC23E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ζ</w:t>
      </w:r>
      <w:r w:rsidR="00882EB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ύγιο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κεφαλαίων </w:t>
      </w:r>
      <w:r w:rsidR="00882EB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εμφάνισε </w:t>
      </w:r>
      <w:r w:rsidR="000F1E1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πλεόνασμα</w:t>
      </w:r>
      <w:r w:rsidR="006A2DBE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6A2DB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ύψους </w:t>
      </w:r>
      <w:r w:rsidR="003F215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1,2</w:t>
      </w:r>
      <w:r w:rsidR="003F2158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 </w:t>
      </w:r>
      <w:r w:rsidR="003F215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δισεκ</w:t>
      </w:r>
      <w:r w:rsidR="003F2158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 ευρώ</w:t>
      </w:r>
      <w:r w:rsidR="00D3120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882EB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έναντι </w:t>
      </w:r>
      <w:r w:rsidR="000F1E1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ελλείμματος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A756D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την αντίστοιχη περίοδο</w:t>
      </w:r>
      <w:r w:rsidR="00882EB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του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="00D3120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 </w:t>
      </w:r>
      <w:r w:rsidR="00483BB7" w:rsidRPr="009842A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λόγω της </w:t>
      </w:r>
      <w:r w:rsidR="000F1E1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αύξησης</w:t>
      </w:r>
      <w:r w:rsidR="0096045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των </w:t>
      </w:r>
      <w:r w:rsidR="00960451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καθαρών </w:t>
      </w:r>
      <w:r w:rsidR="00960451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lastRenderedPageBreak/>
        <w:t>εισπράξεων</w:t>
      </w:r>
      <w:r w:rsidR="0096045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της γενικής κυβέρνησης και της </w:t>
      </w:r>
      <w:r w:rsidR="000F1E1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μείωσης των</w:t>
      </w:r>
      <w:r w:rsidR="00A756D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καθαρών πληρωμών </w:t>
      </w:r>
      <w:r w:rsidR="00E418B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στους λοιπούς, εκτός </w:t>
      </w:r>
      <w:r w:rsidR="00051D0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της </w:t>
      </w:r>
      <w:r w:rsidR="00E418B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γενικής κυβέρνησης, τομείς της οικονομίας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62055993" w14:textId="77777777" w:rsidR="00483BB7" w:rsidRPr="00483BB7" w:rsidRDefault="00483BB7" w:rsidP="00483BB7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</w:pPr>
    </w:p>
    <w:p w14:paraId="024A45E8" w14:textId="5F5DD101" w:rsidR="00483BB7" w:rsidRPr="00483BB7" w:rsidRDefault="00483BB7" w:rsidP="00483BB7">
      <w:pPr>
        <w:keepNext/>
        <w:tabs>
          <w:tab w:val="left" w:pos="4680"/>
          <w:tab w:val="left" w:pos="8100"/>
        </w:tabs>
        <w:spacing w:after="120" w:line="276" w:lineRule="auto"/>
        <w:ind w:right="-2"/>
        <w:jc w:val="both"/>
        <w:outlineLvl w:val="5"/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</w:pPr>
      <w:r w:rsidRPr="00483BB7"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  <w:t>Συ</w:t>
      </w:r>
      <w:r w:rsidR="00FF79C1"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  <w:t>νο</w:t>
      </w:r>
      <w:r w:rsidRPr="00483BB7"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  <w:t>λικό Ισοζύγιο Τρεχουσών Συναλλαγών και Κεφαλαίων</w:t>
      </w:r>
    </w:p>
    <w:p w14:paraId="12C240DA" w14:textId="77777777" w:rsidR="009040F0" w:rsidRDefault="009040F0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</w:p>
    <w:p w14:paraId="76687F2A" w14:textId="3E3D9220" w:rsidR="00483BB7" w:rsidRPr="00483BB7" w:rsidRDefault="008E430A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Τον </w:t>
      </w:r>
      <w:r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Ιούνιο </w:t>
      </w:r>
      <w:r w:rsidR="00483BB7"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τ</w:t>
      </w:r>
      <w:r w:rsidR="00483BB7" w:rsidRPr="00483BB7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ου </w:t>
      </w:r>
      <w:r w:rsidR="00DF00F4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2025</w:t>
      </w:r>
      <w:r w:rsidR="00C74F80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,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 συ</w:t>
      </w:r>
      <w:r w:rsidR="00FF79C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νο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λικ</w:t>
      </w:r>
      <w:r w:rsidR="00A756D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ό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ισοζ</w:t>
      </w:r>
      <w:r w:rsidR="00A756D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ύ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γ</w:t>
      </w:r>
      <w:r w:rsidR="00A756D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ιο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τρεχουσών συναλλαγών και κεφαλαίων (το οποίο αντιστοιχεί στις ανάγκες της οικο</w:t>
      </w:r>
      <w:r w:rsidR="00FF79C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νο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μίας για χρηματοδότηση από το εξωτερικό) </w:t>
      </w:r>
      <w:r w:rsidR="00A756D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παρουσίασε </w:t>
      </w:r>
      <w:r w:rsidR="000F1E1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έλλειμμα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0063A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ύψους </w:t>
      </w:r>
      <w:r w:rsidR="000F1E1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1,2 δισεκ</w:t>
      </w:r>
      <w:r w:rsidR="000063A8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 ευρώ</w:t>
      </w:r>
      <w:r w:rsidR="000063A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AD732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σε σχέση με τον αντίστοιχο μήνα του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="00501FE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AD732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A756D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ό</w:t>
      </w:r>
      <w:r w:rsidR="00501FE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ταν</w:t>
      </w:r>
      <w:r w:rsidR="00A756D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είχε καταγραφεί </w:t>
      </w:r>
      <w:r w:rsidR="000F1E1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πλεόνασμα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1DB2E73D" w14:textId="77777777" w:rsidR="007C1D28" w:rsidRDefault="007C1D28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</w:p>
    <w:p w14:paraId="21E35CB5" w14:textId="20C91641" w:rsidR="00483BB7" w:rsidRPr="00483BB7" w:rsidRDefault="008E430A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 </w:t>
      </w:r>
      <w:r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πρώτο εξάμηνο </w:t>
      </w:r>
      <w:r w:rsid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του </w:t>
      </w:r>
      <w:r w:rsidR="00DF00F4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2025</w:t>
      </w:r>
      <w:r w:rsidR="00C74F8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 </w:t>
      </w:r>
      <w:r w:rsidR="00467EE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έλλειμμα του 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συ</w:t>
      </w:r>
      <w:r w:rsidR="00FF79C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νο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λικ</w:t>
      </w:r>
      <w:r w:rsidR="00467EE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ού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ισοζ</w:t>
      </w:r>
      <w:r w:rsidR="00467EE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υγίου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τρεχουσών συναλλαγών και κεφαλαίων</w:t>
      </w:r>
      <w:r w:rsidR="00467EE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F20BB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μειώθηκε</w:t>
      </w:r>
      <w:r w:rsidR="00AD732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467EE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σε σχέση με</w:t>
      </w:r>
      <w:r w:rsidR="00AD732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την αντίστοιχη περίοδο του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="00AD732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και διαμορφώθηκε σε </w:t>
      </w:r>
      <w:r w:rsidR="000F1E1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6</w:t>
      </w:r>
      <w:r w:rsidR="002C4A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A756D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4</w:t>
      </w:r>
      <w:r w:rsidR="00AD732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450AF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δισεκ</w:t>
      </w:r>
      <w:r w:rsidR="00AD732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 ευρώ</w:t>
      </w:r>
      <w:r w:rsidR="00483BB7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2A684C45" w14:textId="77777777" w:rsidR="00483BB7" w:rsidRPr="00483BB7" w:rsidRDefault="00483BB7" w:rsidP="00483BB7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</w:pPr>
    </w:p>
    <w:p w14:paraId="7E42B599" w14:textId="7D5C29B3" w:rsidR="00483BB7" w:rsidRPr="00483BB7" w:rsidRDefault="00483BB7" w:rsidP="00483BB7">
      <w:pPr>
        <w:keepNext/>
        <w:tabs>
          <w:tab w:val="left" w:pos="4680"/>
          <w:tab w:val="left" w:pos="8100"/>
        </w:tabs>
        <w:spacing w:after="0" w:line="360" w:lineRule="auto"/>
        <w:ind w:right="-2"/>
        <w:jc w:val="both"/>
        <w:outlineLvl w:val="5"/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</w:pPr>
      <w:r w:rsidRPr="00483BB7"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  <w:t>Ισοζύγιο Χρηματοοικο</w:t>
      </w:r>
      <w:r w:rsidR="00FF79C1"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  <w:t>νο</w:t>
      </w:r>
      <w:r w:rsidRPr="00483BB7">
        <w:rPr>
          <w:rFonts w:ascii="Arial" w:eastAsia="Times New Roman" w:hAnsi="Arial" w:cs="Arial"/>
          <w:b/>
          <w:color w:val="00205B"/>
          <w:kern w:val="0"/>
          <w:u w:val="single"/>
          <w:lang w:eastAsia="el-GR"/>
          <w14:ligatures w14:val="none"/>
        </w:rPr>
        <w:t>μικών Συναλλαγών</w:t>
      </w:r>
    </w:p>
    <w:p w14:paraId="78AB6B1D" w14:textId="77777777" w:rsidR="009040F0" w:rsidRDefault="009040F0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</w:pPr>
      <w:bookmarkStart w:id="0" w:name="_Hlk158963435"/>
      <w:bookmarkStart w:id="1" w:name="_Hlk158917174"/>
    </w:p>
    <w:p w14:paraId="603DBA2C" w14:textId="0F4D7682" w:rsidR="00483BB7" w:rsidRPr="00BE3336" w:rsidRDefault="008E430A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Τον </w:t>
      </w:r>
      <w:r w:rsidRPr="009174D6">
        <w:rPr>
          <w:rFonts w:ascii="Arial" w:eastAsia="Times New Roman" w:hAnsi="Arial" w:cs="Arial"/>
          <w:color w:val="000000" w:themeColor="text1"/>
          <w:kern w:val="0"/>
          <w:u w:val="single"/>
          <w:lang w:eastAsia="el-GR"/>
          <w14:ligatures w14:val="none"/>
        </w:rPr>
        <w:t xml:space="preserve">Ιούνιο </w:t>
      </w:r>
      <w:r w:rsidR="00483BB7" w:rsidRPr="009174D6">
        <w:rPr>
          <w:rFonts w:ascii="Arial" w:eastAsia="Times New Roman" w:hAnsi="Arial" w:cs="Arial"/>
          <w:color w:val="000000" w:themeColor="text1"/>
          <w:kern w:val="0"/>
          <w:u w:val="single"/>
          <w:lang w:eastAsia="el-GR"/>
          <w14:ligatures w14:val="none"/>
        </w:rPr>
        <w:t>του</w:t>
      </w:r>
      <w:r w:rsidR="00483BB7" w:rsidRPr="00BE3336">
        <w:rPr>
          <w:rFonts w:ascii="Arial" w:eastAsia="Times New Roman" w:hAnsi="Arial" w:cs="Arial"/>
          <w:color w:val="000000" w:themeColor="text1"/>
          <w:kern w:val="0"/>
          <w:u w:val="single"/>
          <w:lang w:eastAsia="el-GR"/>
          <w14:ligatures w14:val="none"/>
        </w:rPr>
        <w:t xml:space="preserve"> </w:t>
      </w:r>
      <w:r w:rsidR="00DF00F4">
        <w:rPr>
          <w:rFonts w:ascii="Arial" w:eastAsia="Times New Roman" w:hAnsi="Arial" w:cs="Arial"/>
          <w:color w:val="000000" w:themeColor="text1"/>
          <w:kern w:val="0"/>
          <w:u w:val="single"/>
          <w:lang w:eastAsia="el-GR"/>
          <w14:ligatures w14:val="none"/>
        </w:rPr>
        <w:t>2025</w:t>
      </w:r>
      <w:r w:rsidR="00EE746B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,</w:t>
      </w:r>
      <w:r w:rsidR="00483BB7" w:rsidRPr="00BE3336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 στην κατηγορία των άμεσων επενδύσεων, </w:t>
      </w:r>
      <w:r w:rsidR="002D494E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οι</w:t>
      </w:r>
      <w:r w:rsidR="002D494E" w:rsidRPr="00BE3336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 </w:t>
      </w:r>
      <w:r w:rsidR="00483BB7" w:rsidRPr="00BE3336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απαιτήσεις των κατοίκων έναντι του εξωτερικού </w:t>
      </w:r>
      <w:r w:rsidR="002D494E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κατέγραψαν</w:t>
      </w:r>
      <w:r w:rsidR="002D494E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 </w:t>
      </w:r>
      <w:r w:rsidR="000B3231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καθαρ</w:t>
      </w:r>
      <w:r w:rsidR="007D4496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ές</w:t>
      </w:r>
      <w:r w:rsidR="000B3231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 </w:t>
      </w:r>
      <w:r w:rsidR="00AD7329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ροές </w:t>
      </w:r>
      <w:r w:rsidR="002335A2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ύψους</w:t>
      </w:r>
      <w:r w:rsidR="000B3231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 </w:t>
      </w:r>
      <w:r w:rsidR="00EA135A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298,7</w:t>
      </w:r>
      <w:r w:rsidR="00483BB7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 εκ</w:t>
      </w:r>
      <w:r w:rsidR="004D7E98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ατ</w:t>
      </w:r>
      <w:r w:rsidR="00483BB7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. </w:t>
      </w:r>
      <w:r w:rsidR="00B448A3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ε</w:t>
      </w:r>
      <w:r w:rsidR="00483BB7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υρώ</w:t>
      </w:r>
      <w:r w:rsidR="00AB23D4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 και </w:t>
      </w:r>
      <w:r w:rsidR="002D494E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οι</w:t>
      </w:r>
      <w:r w:rsidR="002D494E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 </w:t>
      </w:r>
      <w:r w:rsidR="00B85A9A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υποχρεώσεις των κατοίκων έναντι του εξωτερικού </w:t>
      </w:r>
      <w:r w:rsidR="002335A2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καθαρές </w:t>
      </w:r>
      <w:r w:rsidR="00AD7329" w:rsidRPr="006349B1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ροές</w:t>
      </w:r>
      <w:r w:rsidR="00AD7329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 </w:t>
      </w:r>
      <w:r w:rsidR="002335A2" w:rsidRPr="00BE3336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 xml:space="preserve">ύψους </w:t>
      </w:r>
      <w:r w:rsidR="00EA135A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729,1</w:t>
      </w:r>
      <w:r w:rsidR="002335A2" w:rsidRPr="00BE3336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 εκατ. ευρώ</w:t>
      </w:r>
      <w:bookmarkEnd w:id="0"/>
      <w:r w:rsidR="00483BB7" w:rsidRPr="00BE3336">
        <w:rPr>
          <w:rFonts w:ascii="Arial" w:eastAsia="Times New Roman" w:hAnsi="Arial" w:cs="Arial"/>
          <w:color w:val="000000" w:themeColor="text1"/>
          <w:kern w:val="0"/>
          <w:lang w:eastAsia="el-GR"/>
          <w14:ligatures w14:val="none"/>
        </w:rPr>
        <w:t>.</w:t>
      </w:r>
    </w:p>
    <w:bookmarkEnd w:id="1"/>
    <w:p w14:paraId="3B1C131C" w14:textId="59F38E6D" w:rsidR="00483BB7" w:rsidRPr="005273EA" w:rsidRDefault="00483BB7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Στις επενδύσεις χαρτοφυλακίου, η </w:t>
      </w:r>
      <w:r w:rsidR="00EA135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άνοδος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των απαιτήσεων των κατοίκων έναντι του εξωτερικού </w:t>
      </w:r>
      <w:r w:rsidR="00FC54C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αντανακλά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2C4A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κυρίως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τη</w:t>
      </w:r>
      <w:r w:rsidR="002D494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ν </w:t>
      </w:r>
      <w:r w:rsidR="00EA135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αύξηση</w:t>
      </w:r>
      <w:r w:rsidR="0010388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κατά </w:t>
      </w:r>
      <w:r w:rsidR="00EA135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656,0</w:t>
      </w:r>
      <w:r w:rsidRPr="00C5412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FE39D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εκ</w:t>
      </w:r>
      <w:r w:rsidR="00EA135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ατ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 ευρώ των τοποθετήσεών τους σε ομόλογα και έντοκα γραμμάτια του εξωτερικού</w:t>
      </w:r>
      <w:r w:rsidR="00EA135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και, σε μικρότερο βαθμό, την αύξηση κατά 231,4 εκατ. ευρώ των τοποθετήσεων κατοίκων σε μετοχές επιχειρήσεων μη κατοίκων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. Η </w:t>
      </w:r>
      <w:r w:rsidR="00EA135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αύξηση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των υποχρεώσεών τους</w:t>
      </w:r>
      <w:r w:rsidR="0066438E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οφείλεται </w:t>
      </w:r>
      <w:r w:rsidR="0004103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κυρίως</w:t>
      </w:r>
      <w:r w:rsidR="00AD732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στη</w:t>
      </w:r>
      <w:r w:rsidR="002D494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ν </w:t>
      </w:r>
      <w:r w:rsidR="00EA135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άνοδο</w:t>
      </w:r>
      <w:r w:rsidR="0010388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EC023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κατά </w:t>
      </w:r>
      <w:r w:rsidR="00EA135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1,6 δισεκ</w:t>
      </w:r>
      <w:r w:rsidR="00EC023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. ευρώ των τοποθετήσεων </w:t>
      </w:r>
      <w:r w:rsidR="00AD7329"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μη κατοίκων σε ελληνικά ομόλογα και έντοκα γραμμάτια</w:t>
      </w:r>
      <w:r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. </w:t>
      </w:r>
    </w:p>
    <w:p w14:paraId="3F15ECF1" w14:textId="6FABE49B" w:rsidR="00483BB7" w:rsidRDefault="00483BB7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Στην κατηγορία των λοιπών επενδύσεων καταγράφηκε 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μείωση</w:t>
      </w:r>
      <w:r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των απαιτήσεων των κατοίκων έναντι του εξωτερικού, </w:t>
      </w:r>
      <w:r w:rsidR="00FB37B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κυρίως </w:t>
      </w:r>
      <w:r w:rsidR="00C54B9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λόγω 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της μείωσης </w:t>
      </w:r>
      <w:r w:rsidR="00FB34C9"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κατά 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808,7</w:t>
      </w:r>
      <w:r w:rsidR="00FB34C9"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εκατ</w:t>
      </w:r>
      <w:r w:rsidR="00FB34C9"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 ευρώ των τοποθετήσεων κατοίκων σε καταθέσεις και repos στο εξωτερικό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και, σε μικρότερο βαθμό</w:t>
      </w:r>
      <w:r w:rsidR="00983690" w:rsidRPr="0098369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D0775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της 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μείωσης</w:t>
      </w:r>
      <w:r w:rsidR="00D0775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103889" w:rsidRPr="00D0691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κατά 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272,5</w:t>
      </w:r>
      <w:r w:rsidR="00103889" w:rsidRPr="00D0691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εκατ. ευρώ της χορήγησης δανείων σε μη κατοίκους από εγχώρια χρηματοπιστωτικά ιδρύματα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 οι οποίες αντισταθμίστηκαν μερικώς από</w:t>
      </w:r>
      <w:r w:rsidR="0010388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τη </w:t>
      </w:r>
      <w:r w:rsidR="00103889"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στατιστική προσαρμογή που συνδέεται με την έκδοση τραπεζογραμματίων (κατά 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322</w:t>
      </w:r>
      <w:r w:rsidR="0010388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,0</w:t>
      </w:r>
      <w:r w:rsidR="00103889"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εκατ. ευρώ)</w:t>
      </w:r>
      <w:r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. Η 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μείωση</w:t>
      </w:r>
      <w:r w:rsidR="002D494E"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των υποχρεώσε</w:t>
      </w:r>
      <w:r w:rsidR="00390B1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ω</w:t>
      </w:r>
      <w:r w:rsidR="00054D7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ν</w:t>
      </w:r>
      <w:r w:rsidR="00390B1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των κατοίκων</w:t>
      </w:r>
      <w:r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820C8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προέρχεται κυρίως από 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τη μείωση κατά 1,7 δισεκ. ευρώ των τοποθετήσεων μη κατοίκων σε καταθέσεις και </w:t>
      </w:r>
      <w:r w:rsidR="00FB34C9">
        <w:rPr>
          <w:rFonts w:ascii="Arial" w:eastAsia="Times New Roman" w:hAnsi="Arial" w:cs="Arial"/>
          <w:color w:val="000000"/>
          <w:kern w:val="0"/>
          <w:lang w:val="en-US" w:eastAsia="el-GR"/>
          <w14:ligatures w14:val="none"/>
        </w:rPr>
        <w:t>repos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στην Ελλάδα (συμπεριλαμβάνεται και ο λογαριασμός </w:t>
      </w:r>
      <w:r w:rsidR="00FB34C9">
        <w:rPr>
          <w:rFonts w:ascii="Arial" w:eastAsia="Times New Roman" w:hAnsi="Arial" w:cs="Arial"/>
          <w:color w:val="000000"/>
          <w:kern w:val="0"/>
          <w:lang w:val="en-US" w:eastAsia="el-GR"/>
          <w14:ligatures w14:val="none"/>
        </w:rPr>
        <w:t>T</w:t>
      </w:r>
      <w:r w:rsidR="00276D6F">
        <w:rPr>
          <w:rFonts w:ascii="Arial" w:eastAsia="Times New Roman" w:hAnsi="Arial" w:cs="Arial"/>
          <w:color w:val="000000"/>
          <w:kern w:val="0"/>
          <w:lang w:val="en-US" w:eastAsia="el-GR"/>
          <w14:ligatures w14:val="none"/>
        </w:rPr>
        <w:t>ARGET</w:t>
      </w:r>
      <w:r w:rsidR="00FB34C9" w:rsidRPr="00865F8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),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η οποία </w:t>
      </w:r>
      <w:r w:rsidR="00FB34C9" w:rsidRPr="0075237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αντισταθμίστηκ</w:t>
      </w:r>
      <w:r w:rsidR="00FB34C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</w:t>
      </w:r>
      <w:r w:rsidR="00FB34C9" w:rsidRPr="0075237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, ως ένα βαθμό, από </w:t>
      </w:r>
      <w:r w:rsidR="00820C8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τη </w:t>
      </w:r>
      <w:r w:rsidR="00820C8D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στατιστική προσαρμογή που συνδέεται με την έκδοση τραπεζογραμματίων (κατά</w:t>
      </w:r>
      <w:r w:rsidR="0010388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FB34C9" w:rsidRPr="00865F8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322</w:t>
      </w:r>
      <w:r w:rsidR="00820C8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,0</w:t>
      </w:r>
      <w:r w:rsidR="00820C8D"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820C8D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εκατ. ευρώ</w:t>
      </w:r>
      <w:r w:rsidR="00FB34C9" w:rsidRPr="00865F8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)</w:t>
      </w:r>
      <w:r w:rsidR="0062636C" w:rsidRPr="0075237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5EFFE5E2" w14:textId="77777777" w:rsidR="007F6FC9" w:rsidRPr="00483BB7" w:rsidRDefault="007F6FC9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</w:p>
    <w:p w14:paraId="472FB63D" w14:textId="7FDD5B21" w:rsidR="00483BB7" w:rsidRPr="00483BB7" w:rsidRDefault="008E430A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bookmarkStart w:id="2" w:name="_Hlk158920309"/>
      <w:r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lastRenderedPageBreak/>
        <w:t xml:space="preserve">Το </w:t>
      </w:r>
      <w:r w:rsidRPr="008E430A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πρώτο εξάμηνο</w:t>
      </w:r>
      <w:r w:rsid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 του</w:t>
      </w:r>
      <w:r w:rsidRPr="009174D6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 xml:space="preserve"> </w:t>
      </w:r>
      <w:r w:rsidR="00DF00F4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2025</w:t>
      </w:r>
      <w:r w:rsidR="00EE746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483BB7" w:rsidRPr="00296F8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στην κατηγορία των άμεσων επενδύσεων, </w:t>
      </w:r>
      <w:r w:rsidR="002D494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οι</w:t>
      </w:r>
      <w:r w:rsidR="002D494E" w:rsidRPr="00296F8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483BB7" w:rsidRPr="00296F8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απαιτήσεις των κατοίκων έναντι του εξωτερικού </w:t>
      </w:r>
      <w:r w:rsidR="002D494E">
        <w:rPr>
          <w:rFonts w:ascii="Arial" w:hAnsi="Arial" w:cs="Arial"/>
          <w:color w:val="000000"/>
          <w14:ligatures w14:val="none"/>
        </w:rPr>
        <w:t>κατέγραψαν</w:t>
      </w:r>
      <w:r w:rsidR="002D494E" w:rsidRPr="006349B1">
        <w:rPr>
          <w:rFonts w:ascii="Arial" w:hAnsi="Arial" w:cs="Arial"/>
          <w:color w:val="000000"/>
          <w14:ligatures w14:val="none"/>
        </w:rPr>
        <w:t xml:space="preserve"> </w:t>
      </w:r>
      <w:r w:rsidR="00CD11AB" w:rsidRPr="006349B1">
        <w:rPr>
          <w:rFonts w:ascii="Arial" w:hAnsi="Arial" w:cs="Arial"/>
          <w:color w:val="000000"/>
          <w14:ligatures w14:val="none"/>
        </w:rPr>
        <w:t xml:space="preserve">καθαρές </w:t>
      </w:r>
      <w:r w:rsidR="00EE1D4D" w:rsidRPr="006349B1">
        <w:rPr>
          <w:rFonts w:ascii="Arial" w:hAnsi="Arial" w:cs="Arial"/>
          <w:color w:val="000000"/>
          <w14:ligatures w14:val="none"/>
        </w:rPr>
        <w:t xml:space="preserve">ροές </w:t>
      </w:r>
      <w:r w:rsidR="003C2996" w:rsidRPr="006349B1">
        <w:rPr>
          <w:rFonts w:ascii="Arial" w:hAnsi="Arial" w:cs="Arial"/>
          <w:color w:val="000000"/>
          <w14:ligatures w14:val="none"/>
        </w:rPr>
        <w:t xml:space="preserve">ύψους </w:t>
      </w:r>
      <w:r w:rsidR="00F230FD" w:rsidRPr="00865F84">
        <w:rPr>
          <w:rFonts w:ascii="Arial" w:hAnsi="Arial" w:cs="Arial"/>
          <w:color w:val="000000"/>
          <w14:ligatures w14:val="none"/>
        </w:rPr>
        <w:t xml:space="preserve">2,0 </w:t>
      </w:r>
      <w:r w:rsidR="00F230FD">
        <w:rPr>
          <w:rFonts w:ascii="Arial" w:hAnsi="Arial" w:cs="Arial"/>
          <w:color w:val="000000"/>
          <w14:ligatures w14:val="none"/>
        </w:rPr>
        <w:t>δισεκ</w:t>
      </w:r>
      <w:r w:rsidR="00483BB7" w:rsidRPr="006349B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 ευρώ</w:t>
      </w:r>
      <w:r w:rsidR="000A285B" w:rsidRPr="006349B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και</w:t>
      </w:r>
      <w:r w:rsidR="003C2996" w:rsidRPr="006349B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2D494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οι</w:t>
      </w:r>
      <w:r w:rsidR="002D494E" w:rsidRPr="006349B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483BB7" w:rsidRPr="006349B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υποχρεώσεις των κατοίκων έναντι του εξωτερικού, που αντιστοιχούν σε άμεσες επενδύσεις μη κατοίκων στην Ελλάδα</w:t>
      </w:r>
      <w:r w:rsidR="000A285B" w:rsidRPr="006349B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, </w:t>
      </w:r>
      <w:r w:rsidR="003010F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σημείωσαν </w:t>
      </w:r>
      <w:r w:rsidR="00CD11AB" w:rsidRPr="006349B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καθαρές </w:t>
      </w:r>
      <w:r w:rsidR="000A285B" w:rsidRPr="006349B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ροές ύψους</w:t>
      </w:r>
      <w:r w:rsidR="000A285B" w:rsidRPr="003C299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FB760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2,</w:t>
      </w:r>
      <w:r w:rsidR="00F230FD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8</w:t>
      </w:r>
      <w:r w:rsidR="000A285B" w:rsidRPr="003C299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AE25F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δισεκ</w:t>
      </w:r>
      <w:r w:rsidR="000A285B" w:rsidRPr="003C299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 ευρώ</w:t>
      </w:r>
      <w:r w:rsidR="00483BB7" w:rsidRPr="00296F8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bookmarkEnd w:id="2"/>
    <w:p w14:paraId="0C6F1017" w14:textId="373A756B" w:rsidR="00483BB7" w:rsidRPr="00483BB7" w:rsidRDefault="00483BB7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Στις επενδύσεις χαρτοφυλακίου, η </w:t>
      </w:r>
      <w:r w:rsidR="0090545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μείωση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των απαιτήσεων των κατοίκων έναντι του εξωτερικού οφείλεται </w:t>
      </w:r>
      <w:r w:rsidR="00BD6F0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κυρίως 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στην </w:t>
      </w:r>
      <w:r w:rsidR="0090545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υποχώρηση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κατά </w:t>
      </w:r>
      <w:r w:rsidR="00D4428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2,0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 δισεκ. ευρώ των τοποθετήσεων κατοίκων σε ομόλογα και έντοκα γραμμάτια του εξωτερικού</w:t>
      </w:r>
      <w:r w:rsidR="0090545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 η οποία αντισταθμίστηκε σε μεγάλο βαθμό από την άνοδο κατά 1,5 δισεκ. ευρώ των τοποθετήσεων κατοίκων σε μετοχές επιχειρήσεων μη κατοίκων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 Η αύξηση των υποχρεώσε</w:t>
      </w:r>
      <w:r w:rsidR="00390B1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ων των κατοίκων</w:t>
      </w:r>
      <w:r w:rsidR="00054D7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FC54C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αντανακλά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DB21C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κυρίως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την </w:t>
      </w:r>
      <w:r w:rsidR="00A10F0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άνοδο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κατά </w:t>
      </w:r>
      <w:r w:rsidR="0090545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7,</w:t>
      </w:r>
      <w:r w:rsidR="0098364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5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δισεκ. ευρώ των τοποθετήσεων μη κατοίκων σε ελληνικά ομόλογα και έντοκα γραμμάτια</w:t>
      </w:r>
      <w:r w:rsidR="00E50AB9" w:rsidRPr="004E5C23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A34FF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DB21C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καθώς </w:t>
      </w:r>
      <w:r w:rsidR="00A34FF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και</w:t>
      </w:r>
      <w:r w:rsidR="0098364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16079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την</w:t>
      </w:r>
      <w:r w:rsidR="00A34FF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αύξηση </w:t>
      </w:r>
      <w:r w:rsidR="00B766B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κατά 1,</w:t>
      </w:r>
      <w:r w:rsidR="0090545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4</w:t>
      </w:r>
      <w:r w:rsidR="00B766B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δισεκ. ευρώ των </w:t>
      </w:r>
      <w:r w:rsidR="00A34FF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τοποθετήσεων μη κατοίκων σε μετοχές εγχώριων επιχειρήσεων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1BC8F23D" w14:textId="375229C9" w:rsidR="00483BB7" w:rsidRPr="00483BB7" w:rsidRDefault="00483BB7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Στην κατηγορία των λοιπών επενδύσεων, η </w:t>
      </w:r>
      <w:r w:rsidR="0090545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αύξηση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των </w:t>
      </w:r>
      <w:r w:rsidRPr="00425FF5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απαιτήσεων των κατοίκων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έναντι του εξωτερικού </w:t>
      </w:r>
      <w:r w:rsidRP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οφείλεται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765A6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κυρίως 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στη</w:t>
      </w:r>
      <w:r w:rsidR="002D494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90545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στατιστική προσαρμογή για την έκδοση τραπεζογραμματίων (κατά 2,9 δισεκ. ευρώ) </w:t>
      </w:r>
      <w:r w:rsidR="0042483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και</w:t>
      </w:r>
      <w:r w:rsidR="00CD137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42483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σε μικρότερο βαθμό</w:t>
      </w:r>
      <w:r w:rsidR="00CD137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42483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στην αύξηση κατά 189,5 εκατ. ευρώ της χορήγησης δανείων σε μη κατοίκους, η οποία </w:t>
      </w:r>
      <w:r w:rsidR="00424830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αντισταθμίστηκε μερικώς από την</w:t>
      </w:r>
      <w:r w:rsidR="0042483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υ</w:t>
      </w:r>
      <w:r w:rsidR="002D494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ποχώρηση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κατά </w:t>
      </w:r>
      <w:r w:rsidR="0042483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281,6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εκ</w:t>
      </w:r>
      <w:r w:rsidR="0042483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ατ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. ευρώ των τοποθετήσεων κατοίκων σε καταθέσεις και repos στο εξωτερικό. Η </w:t>
      </w:r>
      <w:r w:rsidR="00700E0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μείωση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των υποχρεώσε</w:t>
      </w:r>
      <w:r w:rsidR="00390B1F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ων των κατοίκων</w:t>
      </w:r>
      <w:r w:rsidR="00054D79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6D6241" w:rsidRPr="006D624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A8492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συνδέεται </w:t>
      </w:r>
      <w:r w:rsidR="00700E0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με </w:t>
      </w:r>
      <w:r w:rsidR="00700E08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τη</w:t>
      </w:r>
      <w:r w:rsidR="00E1584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ν υποχώρηση</w:t>
      </w:r>
      <w:r w:rsidR="00700E0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AE25F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κατά </w:t>
      </w:r>
      <w:r w:rsidR="0042483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4,9</w:t>
      </w:r>
      <w:r w:rsidR="00AE25F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δισεκ. ευρώ </w:t>
      </w:r>
      <w:r w:rsidR="00AE25F8"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των τοποθετήσεων μη κατοίκων σε καταθέσεις και repos στην Ελλάδα (περιλαμβάνεται και ο λογαριασμός TARGET)</w:t>
      </w:r>
      <w:r w:rsidR="00865F8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 που αντισταθμίστηκε</w:t>
      </w:r>
      <w:r w:rsidR="00B80895" w:rsidRPr="00B80895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865F8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ως ένα βαθμό</w:t>
      </w:r>
      <w:r w:rsidR="00B80895" w:rsidRPr="00B80895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865F8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από</w:t>
      </w:r>
      <w:r w:rsidR="0098364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τη στατιστική προσαρμογή για την έκδοση τραπεζογραμματίων (κατά </w:t>
      </w:r>
      <w:r w:rsidR="00865F8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2,9</w:t>
      </w:r>
      <w:r w:rsidR="0098364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865F8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δισεκ</w:t>
      </w:r>
      <w:r w:rsidR="00983646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 ευρώ)</w:t>
      </w:r>
      <w:r w:rsidR="007E6D5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0701C443" w14:textId="77777777" w:rsidR="00483BB7" w:rsidRPr="00483BB7" w:rsidRDefault="00483BB7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</w:p>
    <w:p w14:paraId="69D2F75C" w14:textId="3862B232" w:rsidR="00483BB7" w:rsidRPr="00483BB7" w:rsidRDefault="00483BB7" w:rsidP="00483BB7">
      <w:pPr>
        <w:tabs>
          <w:tab w:val="left" w:pos="851"/>
          <w:tab w:val="left" w:pos="4680"/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Στο τέλος </w:t>
      </w:r>
      <w:r w:rsidR="008E430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Ιουνίου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ED165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του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2025</w:t>
      </w:r>
      <w:r w:rsidR="00942DC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τα συναλλαγματικά διαθέσιμα της χώρας διαμορφώθηκαν σε 1</w:t>
      </w:r>
      <w:r w:rsidR="008D7E19" w:rsidRPr="00865F8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5</w:t>
      </w:r>
      <w:r w:rsidR="00DD3A4E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617D6A" w:rsidRPr="007C622C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3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 δισεκ. ευρώ, έναντι 1</w:t>
      </w:r>
      <w:r w:rsidR="008D7E19" w:rsidRPr="00865F8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3,3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 δισεκ. ευρώ στο τέλος </w:t>
      </w:r>
      <w:r w:rsidR="008E430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Ιουνίου</w:t>
      </w:r>
      <w:r w:rsidR="00ED1658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του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2024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5D686707" w14:textId="77777777" w:rsidR="00483BB7" w:rsidRPr="00483BB7" w:rsidRDefault="00483BB7" w:rsidP="00483BB7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</w:p>
    <w:p w14:paraId="094552E2" w14:textId="65ED431B" w:rsidR="00483BB7" w:rsidRPr="00483BB7" w:rsidRDefault="00483BB7" w:rsidP="00483BB7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</w:pPr>
      <w:r w:rsidRPr="00483BB7">
        <w:rPr>
          <w:rFonts w:ascii="Arial" w:eastAsia="Times New Roman" w:hAnsi="Arial" w:cs="Arial"/>
          <w:color w:val="000000"/>
          <w:kern w:val="0"/>
          <w:u w:val="single"/>
          <w:lang w:eastAsia="el-GR"/>
          <w14:ligatures w14:val="none"/>
        </w:rPr>
        <w:t>Σημείωση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: Τα στατιστικά στοιχεία για το </w:t>
      </w:r>
      <w:r w:rsid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Ι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σοζύγιο </w:t>
      </w:r>
      <w:r w:rsidR="005273E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Π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ληρωμών του μηνός </w:t>
      </w:r>
      <w:r w:rsidR="004B1AD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Ιου</w:t>
      </w:r>
      <w:r w:rsidR="008E430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λ</w:t>
      </w:r>
      <w:r w:rsidR="004B1ADB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ίου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2025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θα ανακοινωθούν στις </w:t>
      </w:r>
      <w:r w:rsidR="008D7E19" w:rsidRPr="00865F8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19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 </w:t>
      </w:r>
      <w:r w:rsidR="008E430A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Σεπτεμβρίου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DF00F4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2025</w:t>
      </w:r>
      <w:r w:rsidRPr="00483BB7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.</w:t>
      </w:r>
    </w:p>
    <w:p w14:paraId="43896BB0" w14:textId="77777777" w:rsidR="00483BB7" w:rsidRPr="00483BB7" w:rsidRDefault="00483BB7" w:rsidP="00483BB7">
      <w:pPr>
        <w:spacing w:before="240" w:after="0" w:line="360" w:lineRule="auto"/>
        <w:jc w:val="both"/>
        <w:rPr>
          <w:rFonts w:ascii="Arial" w:eastAsia="Times New Roman" w:hAnsi="Arial" w:cs="Arial"/>
          <w:b/>
          <w:color w:val="000000"/>
          <w:kern w:val="0"/>
          <w:u w:val="single"/>
          <w:lang w:eastAsia="el-GR"/>
          <w14:ligatures w14:val="none"/>
        </w:rPr>
      </w:pPr>
    </w:p>
    <w:p w14:paraId="09F512A3" w14:textId="77777777" w:rsidR="00483BB7" w:rsidRPr="00483BB7" w:rsidRDefault="00483BB7" w:rsidP="00483BB7">
      <w:pPr>
        <w:spacing w:before="240" w:after="0" w:line="360" w:lineRule="auto"/>
        <w:jc w:val="both"/>
        <w:rPr>
          <w:rFonts w:ascii="Arial" w:eastAsia="Times New Roman" w:hAnsi="Arial" w:cs="Arial"/>
          <w:b/>
          <w:color w:val="000000"/>
          <w:kern w:val="0"/>
          <w:u w:val="single"/>
          <w:lang w:eastAsia="el-GR"/>
          <w14:ligatures w14:val="none"/>
        </w:rPr>
      </w:pPr>
      <w:r w:rsidRPr="00483BB7">
        <w:rPr>
          <w:rFonts w:ascii="Arial" w:eastAsia="Times New Roman" w:hAnsi="Arial" w:cs="Arial"/>
          <w:b/>
          <w:color w:val="000000"/>
          <w:kern w:val="0"/>
          <w:u w:val="single"/>
          <w:lang w:eastAsia="el-GR"/>
          <w14:ligatures w14:val="none"/>
        </w:rPr>
        <w:t>Σχετικός σύνδεσμος</w:t>
      </w:r>
      <w:r w:rsidRPr="00483BB7">
        <w:rPr>
          <w:rFonts w:ascii="Arial" w:eastAsia="Times New Roman" w:hAnsi="Arial" w:cs="Arial"/>
          <w:b/>
          <w:color w:val="000000"/>
          <w:kern w:val="0"/>
          <w:lang w:eastAsia="el-GR"/>
          <w14:ligatures w14:val="none"/>
        </w:rPr>
        <w:t>:</w:t>
      </w:r>
    </w:p>
    <w:p w14:paraId="19D8A692" w14:textId="277A8DDD" w:rsidR="00483BB7" w:rsidRPr="00352CA8" w:rsidRDefault="00352CA8" w:rsidP="00483BB7">
      <w:pPr>
        <w:spacing w:before="240" w:after="0" w:line="360" w:lineRule="auto"/>
        <w:jc w:val="both"/>
        <w:rPr>
          <w:rFonts w:ascii="Arial" w:eastAsia="Times New Roman" w:hAnsi="Arial" w:cs="Arial"/>
          <w:color w:val="1F497D"/>
          <w:kern w:val="0"/>
          <w:u w:val="single"/>
          <w:lang w:eastAsia="el-GR"/>
          <w14:ligatures w14:val="none"/>
        </w:rPr>
      </w:pPr>
      <w:hyperlink r:id="rId12" w:history="1">
        <w:r w:rsidR="00483BB7" w:rsidRPr="00352CA8">
          <w:rPr>
            <w:rStyle w:val="Hyperlink"/>
            <w:rFonts w:ascii="Arial" w:eastAsia="Times New Roman" w:hAnsi="Arial" w:cs="Arial"/>
            <w:kern w:val="0"/>
            <w:lang w:eastAsia="el-GR"/>
            <w14:ligatures w14:val="none"/>
          </w:rPr>
          <w:t>Πίνακας Ισ</w:t>
        </w:r>
        <w:r w:rsidR="00483BB7" w:rsidRPr="00352CA8">
          <w:rPr>
            <w:rStyle w:val="Hyperlink"/>
            <w:rFonts w:ascii="Arial" w:eastAsia="Times New Roman" w:hAnsi="Arial" w:cs="Arial"/>
            <w:kern w:val="0"/>
            <w:lang w:eastAsia="el-GR"/>
            <w14:ligatures w14:val="none"/>
          </w:rPr>
          <w:t>οζυγίου Πληρωμών</w:t>
        </w:r>
      </w:hyperlink>
    </w:p>
    <w:p w14:paraId="1272E911" w14:textId="62567C42" w:rsidR="00F54D14" w:rsidRDefault="00F54D14"/>
    <w:sectPr w:rsidR="00F54D14" w:rsidSect="000F4406">
      <w:footerReference w:type="default" r:id="rId13"/>
      <w:footerReference w:type="first" r:id="rId14"/>
      <w:pgSz w:w="11906" w:h="16838"/>
      <w:pgMar w:top="1276" w:right="1418" w:bottom="1276" w:left="1418" w:header="720" w:footer="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F1384" w14:textId="77777777" w:rsidR="00820D65" w:rsidRDefault="00820D65">
      <w:pPr>
        <w:spacing w:after="0" w:line="240" w:lineRule="auto"/>
      </w:pPr>
      <w:r>
        <w:separator/>
      </w:r>
    </w:p>
  </w:endnote>
  <w:endnote w:type="continuationSeparator" w:id="0">
    <w:p w14:paraId="7E717CD7" w14:textId="77777777" w:rsidR="00820D65" w:rsidRDefault="0082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9DE7" w14:textId="77777777" w:rsidR="00A55E5F" w:rsidRDefault="00356965" w:rsidP="006F37D0">
    <w:pPr>
      <w:tabs>
        <w:tab w:val="left" w:pos="2288"/>
      </w:tabs>
      <w:spacing w:line="360" w:lineRule="auto"/>
      <w:ind w:right="360"/>
      <w:rPr>
        <w:sz w:val="14"/>
      </w:rPr>
    </w:pPr>
    <w:r>
      <w:rPr>
        <w:sz w:val="20"/>
      </w:rPr>
      <w:tab/>
    </w:r>
  </w:p>
  <w:p w14:paraId="40F69AE8" w14:textId="77777777" w:rsidR="00A55E5F" w:rsidRPr="00614A99" w:rsidRDefault="00A55E5F" w:rsidP="00766A4F">
    <w:pPr>
      <w:pStyle w:val="Footer"/>
      <w:framePr w:wrap="auto" w:vAnchor="text" w:hAnchor="page" w:x="10807" w:y="301"/>
      <w:rPr>
        <w:rFonts w:ascii="Arial" w:hAnsi="Arial" w:cs="Arial"/>
      </w:rPr>
    </w:pPr>
  </w:p>
  <w:tbl>
    <w:tblPr>
      <w:tblW w:w="9498" w:type="dxa"/>
      <w:tblInd w:w="108" w:type="dxa"/>
      <w:tblBorders>
        <w:left w:val="single" w:sz="48" w:space="0" w:color="DEA400"/>
      </w:tblBorders>
      <w:tblLook w:val="0000" w:firstRow="0" w:lastRow="0" w:firstColumn="0" w:lastColumn="0" w:noHBand="0" w:noVBand="0"/>
    </w:tblPr>
    <w:tblGrid>
      <w:gridCol w:w="4917"/>
      <w:gridCol w:w="4581"/>
    </w:tblGrid>
    <w:tr w:rsidR="00766A4F" w:rsidRPr="00766A4F" w14:paraId="0164D6F5" w14:textId="77777777" w:rsidTr="00071F7C">
      <w:trPr>
        <w:trHeight w:val="540"/>
      </w:trPr>
      <w:tc>
        <w:tcPr>
          <w:tcW w:w="4917" w:type="dxa"/>
          <w:tcBorders>
            <w:left w:val="single" w:sz="48" w:space="0" w:color="BC9E6E"/>
          </w:tcBorders>
          <w:shd w:val="clear" w:color="auto" w:fill="auto"/>
        </w:tcPr>
        <w:p w14:paraId="4FA19703" w14:textId="77777777" w:rsidR="00A55E5F" w:rsidRDefault="00356965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 w:rsidRPr="00766A4F">
            <w:rPr>
              <w:rFonts w:ascii="Arial" w:hAnsi="Arial" w:cs="Arial"/>
              <w:sz w:val="14"/>
              <w:lang w:val="el-GR"/>
            </w:rPr>
            <w:t>Ελ. Βενιζέλου 21, Αθήνα 10250</w:t>
          </w:r>
        </w:p>
        <w:p w14:paraId="052B3B0A" w14:textId="77777777" w:rsidR="00A55E5F" w:rsidRDefault="00356965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proofErr w:type="spellStart"/>
          <w:r w:rsidRPr="00766A4F">
            <w:rPr>
              <w:rFonts w:ascii="Arial" w:hAnsi="Arial" w:cs="Arial"/>
              <w:sz w:val="14"/>
              <w:lang w:val="el-GR"/>
            </w:rPr>
            <w:t>Τηλ</w:t>
          </w:r>
          <w:proofErr w:type="spellEnd"/>
          <w:r w:rsidRPr="00254F89">
            <w:rPr>
              <w:rFonts w:ascii="Arial" w:hAnsi="Arial" w:cs="Arial"/>
              <w:sz w:val="14"/>
              <w:lang w:val="el-GR"/>
            </w:rPr>
            <w:t>:</w:t>
          </w:r>
          <w:r w:rsidRPr="005B1F16">
            <w:rPr>
              <w:rFonts w:ascii="Arial" w:hAnsi="Arial" w:cs="Arial"/>
              <w:sz w:val="14"/>
              <w:lang w:val="el-GR"/>
            </w:rPr>
            <w:t xml:space="preserve"> 210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320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3446-8</w:t>
          </w:r>
        </w:p>
        <w:p w14:paraId="6684A627" w14:textId="56C69D3D" w:rsidR="00A55E5F" w:rsidRDefault="006604A6" w:rsidP="006B5E1E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hyperlink r:id="rId1" w:history="1"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press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@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>
            <w:rPr>
              <w:rFonts w:ascii="Arial" w:hAnsi="Arial" w:cs="Arial"/>
              <w:sz w:val="14"/>
              <w:lang w:val="el-GR"/>
            </w:rPr>
            <w:t xml:space="preserve"> | </w:t>
          </w:r>
          <w:hyperlink r:id="rId2" w:history="1"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www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 w:rsidRPr="006B5E1E">
            <w:rPr>
              <w:rFonts w:ascii="Arial" w:hAnsi="Arial" w:cs="Arial"/>
              <w:sz w:val="14"/>
              <w:lang w:val="el-GR"/>
            </w:rPr>
            <w:t xml:space="preserve"> </w:t>
          </w:r>
          <w:r w:rsidR="00483BB7">
            <w:rPr>
              <w:noProof/>
              <w:sz w:val="20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77B0116" wp14:editId="434F0490">
                    <wp:simplePos x="0" y="0"/>
                    <wp:positionH relativeFrom="column">
                      <wp:posOffset>5871210</wp:posOffset>
                    </wp:positionH>
                    <wp:positionV relativeFrom="paragraph">
                      <wp:posOffset>635</wp:posOffset>
                    </wp:positionV>
                    <wp:extent cx="0" cy="233680"/>
                    <wp:effectExtent l="22860" t="19685" r="24765" b="22860"/>
                    <wp:wrapNone/>
                    <wp:docPr id="3" name="Straight Arrow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3368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DEA4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974706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D3AC9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6" type="#_x0000_t32" style="position:absolute;margin-left:462.3pt;margin-top:.05pt;width:0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" strokecolor="#dea400" strokeweight="3pt">
                    <v:shadow color="#974706" opacity=".5" offset="1pt"/>
                  </v:shape>
                </w:pict>
              </mc:Fallback>
            </mc:AlternateContent>
          </w:r>
        </w:p>
      </w:tc>
      <w:tc>
        <w:tcPr>
          <w:tcW w:w="4581" w:type="dxa"/>
          <w:shd w:val="clear" w:color="auto" w:fill="auto"/>
        </w:tcPr>
        <w:p w14:paraId="09E716DD" w14:textId="35ED3589" w:rsidR="00A55E5F" w:rsidRPr="00184CB0" w:rsidRDefault="00483BB7" w:rsidP="00766A4F">
          <w:pPr>
            <w:pStyle w:val="Footer"/>
            <w:tabs>
              <w:tab w:val="left" w:pos="5220"/>
            </w:tabs>
            <w:spacing w:before="60" w:after="60"/>
            <w:jc w:val="right"/>
            <w:rPr>
              <w:rFonts w:ascii="Arial" w:hAnsi="Arial" w:cs="Arial"/>
              <w:color w:val="auto"/>
              <w:sz w:val="14"/>
              <w:lang w:val="el-GR"/>
            </w:rPr>
          </w:pPr>
          <w:r w:rsidRPr="006F37D0">
            <w:rPr>
              <w:rFonts w:ascii="Arial" w:hAnsi="Arial" w:cs="Arial"/>
              <w:noProof/>
              <w:color w:val="auto"/>
              <w:sz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4E57EDC" wp14:editId="5B6B91C8">
                    <wp:simplePos x="0" y="0"/>
                    <wp:positionH relativeFrom="column">
                      <wp:posOffset>2724150</wp:posOffset>
                    </wp:positionH>
                    <wp:positionV relativeFrom="paragraph">
                      <wp:posOffset>2540</wp:posOffset>
                    </wp:positionV>
                    <wp:extent cx="0" cy="155575"/>
                    <wp:effectExtent l="9525" t="12065" r="9525" b="13335"/>
                    <wp:wrapNone/>
                    <wp:docPr id="2" name="Straight Arrow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555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E9D777" id="Straight Arrow Connector 2" o:spid="_x0000_s1026" type="#_x0000_t32" style="position:absolute;margin-left:214.5pt;margin-top:.2pt;width:0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"/>
                </w:pict>
              </mc:Fallback>
            </mc:AlternateContent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begin"/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instrText xml:space="preserve"> PAGE   \* MERGEFORMAT </w:instrText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separate"/>
          </w:r>
          <w:r w:rsidR="009613F8">
            <w:rPr>
              <w:rFonts w:ascii="Arial" w:hAnsi="Arial" w:cs="Arial"/>
              <w:noProof/>
              <w:color w:val="auto"/>
              <w:sz w:val="18"/>
              <w:lang w:val="en-US"/>
            </w:rPr>
            <w:t>2</w:t>
          </w:r>
          <w:r w:rsidRPr="006F37D0">
            <w:rPr>
              <w:rFonts w:ascii="Arial" w:hAnsi="Arial" w:cs="Arial"/>
              <w:noProof/>
              <w:color w:val="auto"/>
              <w:sz w:val="18"/>
              <w:lang w:val="en-US"/>
            </w:rPr>
            <w:fldChar w:fldCharType="end"/>
          </w:r>
          <w:r>
            <w:rPr>
              <w:rFonts w:ascii="Arial" w:hAnsi="Arial" w:cs="Arial"/>
              <w:noProof/>
              <w:color w:val="auto"/>
              <w:sz w:val="18"/>
              <w:lang w:val="el-GR"/>
            </w:rPr>
            <w:t xml:space="preserve"> </w:t>
          </w:r>
          <w:r w:rsidRPr="00D929F5">
            <w:rPr>
              <w:rFonts w:ascii="Arial Black" w:hAnsi="Arial Black" w:cs="Arial"/>
              <w:b/>
              <w:noProof/>
              <w:color w:val="948A54"/>
              <w:sz w:val="22"/>
              <w:lang w:val="el-GR"/>
            </w:rPr>
            <w:t>|</w:t>
          </w:r>
        </w:p>
      </w:tc>
    </w:tr>
  </w:tbl>
  <w:p w14:paraId="14973119" w14:textId="77777777" w:rsidR="00A55E5F" w:rsidRDefault="00A55E5F" w:rsidP="006F37D0">
    <w:pPr>
      <w:pStyle w:val="Footer"/>
      <w:ind w:right="360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CC160" w14:textId="77777777" w:rsidR="00A55E5F" w:rsidRDefault="00A55E5F">
    <w:pPr>
      <w:pStyle w:val="Footer"/>
      <w:rPr>
        <w:sz w:val="20"/>
        <w:lang w:val="de-DE"/>
      </w:rPr>
    </w:pPr>
  </w:p>
  <w:p w14:paraId="73236177" w14:textId="77777777" w:rsidR="00A55E5F" w:rsidRDefault="00A55E5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1EA5" w14:textId="77777777" w:rsidR="00820D65" w:rsidRDefault="00820D65">
      <w:pPr>
        <w:spacing w:after="0" w:line="240" w:lineRule="auto"/>
      </w:pPr>
      <w:r>
        <w:separator/>
      </w:r>
    </w:p>
  </w:footnote>
  <w:footnote w:type="continuationSeparator" w:id="0">
    <w:p w14:paraId="3A15EDE3" w14:textId="77777777" w:rsidR="00820D65" w:rsidRDefault="0082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161CE"/>
    <w:multiLevelType w:val="hybridMultilevel"/>
    <w:tmpl w:val="CC542B5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7955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B7"/>
    <w:rsid w:val="000063A8"/>
    <w:rsid w:val="00006A1F"/>
    <w:rsid w:val="00014BA5"/>
    <w:rsid w:val="000229BA"/>
    <w:rsid w:val="00023AF0"/>
    <w:rsid w:val="00033868"/>
    <w:rsid w:val="00034001"/>
    <w:rsid w:val="0003485A"/>
    <w:rsid w:val="00035CA0"/>
    <w:rsid w:val="00036974"/>
    <w:rsid w:val="00041039"/>
    <w:rsid w:val="0004405F"/>
    <w:rsid w:val="00044DEC"/>
    <w:rsid w:val="00044FB8"/>
    <w:rsid w:val="00045724"/>
    <w:rsid w:val="00051D06"/>
    <w:rsid w:val="00052ED3"/>
    <w:rsid w:val="00053C2B"/>
    <w:rsid w:val="000542E3"/>
    <w:rsid w:val="00054D79"/>
    <w:rsid w:val="00056580"/>
    <w:rsid w:val="000600C1"/>
    <w:rsid w:val="00062236"/>
    <w:rsid w:val="00063E89"/>
    <w:rsid w:val="00066795"/>
    <w:rsid w:val="000673FE"/>
    <w:rsid w:val="00071F7C"/>
    <w:rsid w:val="00086DAD"/>
    <w:rsid w:val="000959D6"/>
    <w:rsid w:val="000A0A59"/>
    <w:rsid w:val="000A285B"/>
    <w:rsid w:val="000A5CC0"/>
    <w:rsid w:val="000B23B4"/>
    <w:rsid w:val="000B3231"/>
    <w:rsid w:val="000B7D69"/>
    <w:rsid w:val="000C15E7"/>
    <w:rsid w:val="000C27A1"/>
    <w:rsid w:val="000C42BE"/>
    <w:rsid w:val="000D06D7"/>
    <w:rsid w:val="000D0DEC"/>
    <w:rsid w:val="000D1DBF"/>
    <w:rsid w:val="000D33E1"/>
    <w:rsid w:val="000E01AE"/>
    <w:rsid w:val="000E4F38"/>
    <w:rsid w:val="000F1E13"/>
    <w:rsid w:val="000F2434"/>
    <w:rsid w:val="000F4406"/>
    <w:rsid w:val="000F4579"/>
    <w:rsid w:val="001020F9"/>
    <w:rsid w:val="00103889"/>
    <w:rsid w:val="00103FA1"/>
    <w:rsid w:val="00104D01"/>
    <w:rsid w:val="001075B0"/>
    <w:rsid w:val="00111113"/>
    <w:rsid w:val="00111C4E"/>
    <w:rsid w:val="00112111"/>
    <w:rsid w:val="001129EE"/>
    <w:rsid w:val="001135EA"/>
    <w:rsid w:val="00114C6F"/>
    <w:rsid w:val="00122E8A"/>
    <w:rsid w:val="00125CD1"/>
    <w:rsid w:val="0012616B"/>
    <w:rsid w:val="00126AD4"/>
    <w:rsid w:val="0013034F"/>
    <w:rsid w:val="00134809"/>
    <w:rsid w:val="00134C60"/>
    <w:rsid w:val="00134D55"/>
    <w:rsid w:val="001376AE"/>
    <w:rsid w:val="00150619"/>
    <w:rsid w:val="001527EE"/>
    <w:rsid w:val="001569A6"/>
    <w:rsid w:val="00160798"/>
    <w:rsid w:val="00164334"/>
    <w:rsid w:val="00165337"/>
    <w:rsid w:val="001722D8"/>
    <w:rsid w:val="0017274A"/>
    <w:rsid w:val="001770EC"/>
    <w:rsid w:val="00177CA2"/>
    <w:rsid w:val="001800FA"/>
    <w:rsid w:val="00180811"/>
    <w:rsid w:val="00184C26"/>
    <w:rsid w:val="00186D7F"/>
    <w:rsid w:val="00192743"/>
    <w:rsid w:val="00192E26"/>
    <w:rsid w:val="00196502"/>
    <w:rsid w:val="00197459"/>
    <w:rsid w:val="001A6366"/>
    <w:rsid w:val="001A67CA"/>
    <w:rsid w:val="001A70E7"/>
    <w:rsid w:val="001B5559"/>
    <w:rsid w:val="001B56E1"/>
    <w:rsid w:val="001D3020"/>
    <w:rsid w:val="001D3BD4"/>
    <w:rsid w:val="001E41FB"/>
    <w:rsid w:val="001F35EC"/>
    <w:rsid w:val="001F3E9C"/>
    <w:rsid w:val="001F5792"/>
    <w:rsid w:val="001F60C9"/>
    <w:rsid w:val="00201E7E"/>
    <w:rsid w:val="00202C2F"/>
    <w:rsid w:val="0021006E"/>
    <w:rsid w:val="002105B3"/>
    <w:rsid w:val="002208E2"/>
    <w:rsid w:val="00220C3B"/>
    <w:rsid w:val="0022242D"/>
    <w:rsid w:val="002226F3"/>
    <w:rsid w:val="00224A89"/>
    <w:rsid w:val="00224FAC"/>
    <w:rsid w:val="00225BD6"/>
    <w:rsid w:val="00226501"/>
    <w:rsid w:val="002301C2"/>
    <w:rsid w:val="002335A2"/>
    <w:rsid w:val="0024187A"/>
    <w:rsid w:val="0025410E"/>
    <w:rsid w:val="00257723"/>
    <w:rsid w:val="0026135D"/>
    <w:rsid w:val="00267AAD"/>
    <w:rsid w:val="00270238"/>
    <w:rsid w:val="00270873"/>
    <w:rsid w:val="0027326C"/>
    <w:rsid w:val="00273415"/>
    <w:rsid w:val="002749A8"/>
    <w:rsid w:val="00276D6F"/>
    <w:rsid w:val="00295CF0"/>
    <w:rsid w:val="00296F89"/>
    <w:rsid w:val="002A19F3"/>
    <w:rsid w:val="002A3679"/>
    <w:rsid w:val="002B2349"/>
    <w:rsid w:val="002B2475"/>
    <w:rsid w:val="002B29DA"/>
    <w:rsid w:val="002B3BB1"/>
    <w:rsid w:val="002B6D09"/>
    <w:rsid w:val="002C2D98"/>
    <w:rsid w:val="002C4AEA"/>
    <w:rsid w:val="002C5BFC"/>
    <w:rsid w:val="002C5D4F"/>
    <w:rsid w:val="002D494E"/>
    <w:rsid w:val="002E172F"/>
    <w:rsid w:val="002E2452"/>
    <w:rsid w:val="002E3B5D"/>
    <w:rsid w:val="002F1107"/>
    <w:rsid w:val="003010FC"/>
    <w:rsid w:val="0030511C"/>
    <w:rsid w:val="00305952"/>
    <w:rsid w:val="0031020D"/>
    <w:rsid w:val="0031037A"/>
    <w:rsid w:val="00312F51"/>
    <w:rsid w:val="003204D8"/>
    <w:rsid w:val="00327175"/>
    <w:rsid w:val="003315CE"/>
    <w:rsid w:val="00331E99"/>
    <w:rsid w:val="00352CA8"/>
    <w:rsid w:val="00356965"/>
    <w:rsid w:val="0036738C"/>
    <w:rsid w:val="00370B8E"/>
    <w:rsid w:val="003721BC"/>
    <w:rsid w:val="0037425F"/>
    <w:rsid w:val="00387262"/>
    <w:rsid w:val="00387704"/>
    <w:rsid w:val="00390B1F"/>
    <w:rsid w:val="003925D9"/>
    <w:rsid w:val="003930D2"/>
    <w:rsid w:val="003A626E"/>
    <w:rsid w:val="003B53BC"/>
    <w:rsid w:val="003B541D"/>
    <w:rsid w:val="003C0252"/>
    <w:rsid w:val="003C1E30"/>
    <w:rsid w:val="003C2052"/>
    <w:rsid w:val="003C2996"/>
    <w:rsid w:val="003C532A"/>
    <w:rsid w:val="003D0F85"/>
    <w:rsid w:val="003D4410"/>
    <w:rsid w:val="003D4AED"/>
    <w:rsid w:val="003D4C98"/>
    <w:rsid w:val="003D6273"/>
    <w:rsid w:val="003F1782"/>
    <w:rsid w:val="003F2158"/>
    <w:rsid w:val="00404ED6"/>
    <w:rsid w:val="00411CB5"/>
    <w:rsid w:val="00412125"/>
    <w:rsid w:val="00414208"/>
    <w:rsid w:val="00417928"/>
    <w:rsid w:val="00417A9E"/>
    <w:rsid w:val="00421432"/>
    <w:rsid w:val="0042285B"/>
    <w:rsid w:val="00424830"/>
    <w:rsid w:val="00425FF5"/>
    <w:rsid w:val="00431028"/>
    <w:rsid w:val="00434799"/>
    <w:rsid w:val="00434B36"/>
    <w:rsid w:val="00444C43"/>
    <w:rsid w:val="00450AFB"/>
    <w:rsid w:val="00452CDA"/>
    <w:rsid w:val="00454070"/>
    <w:rsid w:val="00454481"/>
    <w:rsid w:val="004564F1"/>
    <w:rsid w:val="004570A5"/>
    <w:rsid w:val="0046701C"/>
    <w:rsid w:val="00467EED"/>
    <w:rsid w:val="00470D87"/>
    <w:rsid w:val="00473E9F"/>
    <w:rsid w:val="00474B8D"/>
    <w:rsid w:val="00481BB0"/>
    <w:rsid w:val="0048207E"/>
    <w:rsid w:val="00483BB7"/>
    <w:rsid w:val="00487EEC"/>
    <w:rsid w:val="00490443"/>
    <w:rsid w:val="0049048D"/>
    <w:rsid w:val="00492A2D"/>
    <w:rsid w:val="00493C7C"/>
    <w:rsid w:val="00497E59"/>
    <w:rsid w:val="004A170D"/>
    <w:rsid w:val="004A4194"/>
    <w:rsid w:val="004B0C6F"/>
    <w:rsid w:val="004B1ADB"/>
    <w:rsid w:val="004B67D3"/>
    <w:rsid w:val="004B67D5"/>
    <w:rsid w:val="004B7241"/>
    <w:rsid w:val="004B7732"/>
    <w:rsid w:val="004C3327"/>
    <w:rsid w:val="004C3E4F"/>
    <w:rsid w:val="004C62AE"/>
    <w:rsid w:val="004C749D"/>
    <w:rsid w:val="004D02D0"/>
    <w:rsid w:val="004D1A19"/>
    <w:rsid w:val="004D3AED"/>
    <w:rsid w:val="004D517B"/>
    <w:rsid w:val="004D7E98"/>
    <w:rsid w:val="004E0641"/>
    <w:rsid w:val="004E5C23"/>
    <w:rsid w:val="004E7F61"/>
    <w:rsid w:val="004F32B5"/>
    <w:rsid w:val="00501FE9"/>
    <w:rsid w:val="00503757"/>
    <w:rsid w:val="00503BD0"/>
    <w:rsid w:val="0050732D"/>
    <w:rsid w:val="0051153D"/>
    <w:rsid w:val="00512E79"/>
    <w:rsid w:val="00513649"/>
    <w:rsid w:val="0051466B"/>
    <w:rsid w:val="005251F9"/>
    <w:rsid w:val="005273EA"/>
    <w:rsid w:val="005308EE"/>
    <w:rsid w:val="00534671"/>
    <w:rsid w:val="00535EB7"/>
    <w:rsid w:val="00537032"/>
    <w:rsid w:val="0053750B"/>
    <w:rsid w:val="00542DF6"/>
    <w:rsid w:val="00551169"/>
    <w:rsid w:val="005533BE"/>
    <w:rsid w:val="00560516"/>
    <w:rsid w:val="00561E77"/>
    <w:rsid w:val="005666D4"/>
    <w:rsid w:val="005667D6"/>
    <w:rsid w:val="00567054"/>
    <w:rsid w:val="005671A2"/>
    <w:rsid w:val="0057045B"/>
    <w:rsid w:val="0057273D"/>
    <w:rsid w:val="00574FCC"/>
    <w:rsid w:val="00582CCA"/>
    <w:rsid w:val="0058462D"/>
    <w:rsid w:val="00585AB8"/>
    <w:rsid w:val="00585CE6"/>
    <w:rsid w:val="00590475"/>
    <w:rsid w:val="00591048"/>
    <w:rsid w:val="005934DB"/>
    <w:rsid w:val="005A2EAC"/>
    <w:rsid w:val="005B5625"/>
    <w:rsid w:val="005C615E"/>
    <w:rsid w:val="005C6C8C"/>
    <w:rsid w:val="005D08DD"/>
    <w:rsid w:val="005E3FD2"/>
    <w:rsid w:val="005E7B0A"/>
    <w:rsid w:val="005F67E0"/>
    <w:rsid w:val="005F76D8"/>
    <w:rsid w:val="00603CD1"/>
    <w:rsid w:val="006050FF"/>
    <w:rsid w:val="00607D9F"/>
    <w:rsid w:val="00607E60"/>
    <w:rsid w:val="00611DBA"/>
    <w:rsid w:val="006125E6"/>
    <w:rsid w:val="00616B1B"/>
    <w:rsid w:val="00617D6A"/>
    <w:rsid w:val="00621DBA"/>
    <w:rsid w:val="0062636C"/>
    <w:rsid w:val="006327CD"/>
    <w:rsid w:val="00633082"/>
    <w:rsid w:val="006345EE"/>
    <w:rsid w:val="006349B1"/>
    <w:rsid w:val="006457DB"/>
    <w:rsid w:val="006506DE"/>
    <w:rsid w:val="00656CEF"/>
    <w:rsid w:val="00657D1A"/>
    <w:rsid w:val="006604A6"/>
    <w:rsid w:val="00662A49"/>
    <w:rsid w:val="0066438E"/>
    <w:rsid w:val="00664BBB"/>
    <w:rsid w:val="00670BB2"/>
    <w:rsid w:val="00671318"/>
    <w:rsid w:val="00675F25"/>
    <w:rsid w:val="0068148A"/>
    <w:rsid w:val="00682B69"/>
    <w:rsid w:val="006833EB"/>
    <w:rsid w:val="00684539"/>
    <w:rsid w:val="00687C39"/>
    <w:rsid w:val="00690EC0"/>
    <w:rsid w:val="00692054"/>
    <w:rsid w:val="00696EE4"/>
    <w:rsid w:val="00696F4F"/>
    <w:rsid w:val="006A2DBE"/>
    <w:rsid w:val="006B121A"/>
    <w:rsid w:val="006B3F8B"/>
    <w:rsid w:val="006B7AD5"/>
    <w:rsid w:val="006D272A"/>
    <w:rsid w:val="006D2E3C"/>
    <w:rsid w:val="006D2FC8"/>
    <w:rsid w:val="006D4F95"/>
    <w:rsid w:val="006D6241"/>
    <w:rsid w:val="006D6525"/>
    <w:rsid w:val="006E2294"/>
    <w:rsid w:val="006E6B2C"/>
    <w:rsid w:val="006F2D5E"/>
    <w:rsid w:val="006F5B75"/>
    <w:rsid w:val="00700E08"/>
    <w:rsid w:val="00702121"/>
    <w:rsid w:val="00714248"/>
    <w:rsid w:val="00717812"/>
    <w:rsid w:val="00717D30"/>
    <w:rsid w:val="00720885"/>
    <w:rsid w:val="0072347D"/>
    <w:rsid w:val="00724A21"/>
    <w:rsid w:val="00730572"/>
    <w:rsid w:val="0073566A"/>
    <w:rsid w:val="00740784"/>
    <w:rsid w:val="00741547"/>
    <w:rsid w:val="00743741"/>
    <w:rsid w:val="00743D62"/>
    <w:rsid w:val="00752377"/>
    <w:rsid w:val="00752CB9"/>
    <w:rsid w:val="007537ED"/>
    <w:rsid w:val="00762E93"/>
    <w:rsid w:val="007638D5"/>
    <w:rsid w:val="00765498"/>
    <w:rsid w:val="00765A6C"/>
    <w:rsid w:val="00777F76"/>
    <w:rsid w:val="00783C5F"/>
    <w:rsid w:val="00792470"/>
    <w:rsid w:val="00796A2A"/>
    <w:rsid w:val="007A0BCD"/>
    <w:rsid w:val="007A17C8"/>
    <w:rsid w:val="007A7798"/>
    <w:rsid w:val="007B1033"/>
    <w:rsid w:val="007B28A9"/>
    <w:rsid w:val="007B35F3"/>
    <w:rsid w:val="007B535F"/>
    <w:rsid w:val="007B5C65"/>
    <w:rsid w:val="007B5CF3"/>
    <w:rsid w:val="007C1D28"/>
    <w:rsid w:val="007C47F0"/>
    <w:rsid w:val="007C537C"/>
    <w:rsid w:val="007C622C"/>
    <w:rsid w:val="007D1B4C"/>
    <w:rsid w:val="007D4496"/>
    <w:rsid w:val="007D61F4"/>
    <w:rsid w:val="007D6BC4"/>
    <w:rsid w:val="007E2417"/>
    <w:rsid w:val="007E3420"/>
    <w:rsid w:val="007E4D77"/>
    <w:rsid w:val="007E561B"/>
    <w:rsid w:val="007E5C34"/>
    <w:rsid w:val="007E6D50"/>
    <w:rsid w:val="007F6FC9"/>
    <w:rsid w:val="008039DD"/>
    <w:rsid w:val="00807E3E"/>
    <w:rsid w:val="0081158B"/>
    <w:rsid w:val="00812675"/>
    <w:rsid w:val="0081351E"/>
    <w:rsid w:val="00815B41"/>
    <w:rsid w:val="00820C8D"/>
    <w:rsid w:val="00820D65"/>
    <w:rsid w:val="00821684"/>
    <w:rsid w:val="00836F47"/>
    <w:rsid w:val="0086279C"/>
    <w:rsid w:val="00862C90"/>
    <w:rsid w:val="00863D5C"/>
    <w:rsid w:val="00865AF0"/>
    <w:rsid w:val="00865F84"/>
    <w:rsid w:val="00870498"/>
    <w:rsid w:val="00871B5D"/>
    <w:rsid w:val="0087202C"/>
    <w:rsid w:val="00873BB3"/>
    <w:rsid w:val="00882EBC"/>
    <w:rsid w:val="008852DC"/>
    <w:rsid w:val="00885683"/>
    <w:rsid w:val="008877DE"/>
    <w:rsid w:val="00887F11"/>
    <w:rsid w:val="00891895"/>
    <w:rsid w:val="00895EAD"/>
    <w:rsid w:val="008A083D"/>
    <w:rsid w:val="008A33ED"/>
    <w:rsid w:val="008A361F"/>
    <w:rsid w:val="008B1129"/>
    <w:rsid w:val="008C228C"/>
    <w:rsid w:val="008C6800"/>
    <w:rsid w:val="008D6709"/>
    <w:rsid w:val="008D7E19"/>
    <w:rsid w:val="008E0D5D"/>
    <w:rsid w:val="008E3F94"/>
    <w:rsid w:val="008E430A"/>
    <w:rsid w:val="008E6681"/>
    <w:rsid w:val="008F0D13"/>
    <w:rsid w:val="008F2D19"/>
    <w:rsid w:val="008F33F6"/>
    <w:rsid w:val="008F51A0"/>
    <w:rsid w:val="008F5A8A"/>
    <w:rsid w:val="00901DD6"/>
    <w:rsid w:val="0090378C"/>
    <w:rsid w:val="009040F0"/>
    <w:rsid w:val="0090545B"/>
    <w:rsid w:val="0091298F"/>
    <w:rsid w:val="00913333"/>
    <w:rsid w:val="00913E3D"/>
    <w:rsid w:val="00914B54"/>
    <w:rsid w:val="00916AC0"/>
    <w:rsid w:val="00917477"/>
    <w:rsid w:val="009174D6"/>
    <w:rsid w:val="00921605"/>
    <w:rsid w:val="00923319"/>
    <w:rsid w:val="0092442B"/>
    <w:rsid w:val="00925DC8"/>
    <w:rsid w:val="00926483"/>
    <w:rsid w:val="00926A57"/>
    <w:rsid w:val="00927E0F"/>
    <w:rsid w:val="0093363D"/>
    <w:rsid w:val="00934AAE"/>
    <w:rsid w:val="0094098E"/>
    <w:rsid w:val="00941EBC"/>
    <w:rsid w:val="00942DC0"/>
    <w:rsid w:val="00950ECF"/>
    <w:rsid w:val="00952399"/>
    <w:rsid w:val="00952A6A"/>
    <w:rsid w:val="0095546D"/>
    <w:rsid w:val="00956221"/>
    <w:rsid w:val="00956544"/>
    <w:rsid w:val="009579FC"/>
    <w:rsid w:val="00960451"/>
    <w:rsid w:val="009613F8"/>
    <w:rsid w:val="00961838"/>
    <w:rsid w:val="00961E84"/>
    <w:rsid w:val="0097418A"/>
    <w:rsid w:val="00983646"/>
    <w:rsid w:val="00983690"/>
    <w:rsid w:val="009842A7"/>
    <w:rsid w:val="00992105"/>
    <w:rsid w:val="009947A3"/>
    <w:rsid w:val="009A1BE1"/>
    <w:rsid w:val="009A255E"/>
    <w:rsid w:val="009B1384"/>
    <w:rsid w:val="009B5E5D"/>
    <w:rsid w:val="009D0B7A"/>
    <w:rsid w:val="009E34AA"/>
    <w:rsid w:val="009E4DDD"/>
    <w:rsid w:val="009E5093"/>
    <w:rsid w:val="009E5CD9"/>
    <w:rsid w:val="009F1FA1"/>
    <w:rsid w:val="009F3ABB"/>
    <w:rsid w:val="00A0212D"/>
    <w:rsid w:val="00A03B71"/>
    <w:rsid w:val="00A047F2"/>
    <w:rsid w:val="00A107C2"/>
    <w:rsid w:val="00A10F0B"/>
    <w:rsid w:val="00A1164A"/>
    <w:rsid w:val="00A11E65"/>
    <w:rsid w:val="00A150DD"/>
    <w:rsid w:val="00A1759E"/>
    <w:rsid w:val="00A22453"/>
    <w:rsid w:val="00A32A87"/>
    <w:rsid w:val="00A346C3"/>
    <w:rsid w:val="00A34FFA"/>
    <w:rsid w:val="00A35317"/>
    <w:rsid w:val="00A370FF"/>
    <w:rsid w:val="00A37C86"/>
    <w:rsid w:val="00A40097"/>
    <w:rsid w:val="00A43B1E"/>
    <w:rsid w:val="00A55380"/>
    <w:rsid w:val="00A5587A"/>
    <w:rsid w:val="00A55E5F"/>
    <w:rsid w:val="00A6305F"/>
    <w:rsid w:val="00A63979"/>
    <w:rsid w:val="00A64BB4"/>
    <w:rsid w:val="00A752F1"/>
    <w:rsid w:val="00A756DE"/>
    <w:rsid w:val="00A769E8"/>
    <w:rsid w:val="00A8492C"/>
    <w:rsid w:val="00A87362"/>
    <w:rsid w:val="00A91E88"/>
    <w:rsid w:val="00A96A2A"/>
    <w:rsid w:val="00AA4DF4"/>
    <w:rsid w:val="00AA612C"/>
    <w:rsid w:val="00AA7FF9"/>
    <w:rsid w:val="00AB23D4"/>
    <w:rsid w:val="00AB3920"/>
    <w:rsid w:val="00AB4C24"/>
    <w:rsid w:val="00AB5DFD"/>
    <w:rsid w:val="00AB60E9"/>
    <w:rsid w:val="00AC1902"/>
    <w:rsid w:val="00AC263B"/>
    <w:rsid w:val="00AC3592"/>
    <w:rsid w:val="00AC5457"/>
    <w:rsid w:val="00AD01F7"/>
    <w:rsid w:val="00AD26F5"/>
    <w:rsid w:val="00AD401D"/>
    <w:rsid w:val="00AD44A4"/>
    <w:rsid w:val="00AD7329"/>
    <w:rsid w:val="00AE15EC"/>
    <w:rsid w:val="00AE25F8"/>
    <w:rsid w:val="00AE4E06"/>
    <w:rsid w:val="00AE6414"/>
    <w:rsid w:val="00AF3A8E"/>
    <w:rsid w:val="00AF430B"/>
    <w:rsid w:val="00AF68BF"/>
    <w:rsid w:val="00B011D0"/>
    <w:rsid w:val="00B0471D"/>
    <w:rsid w:val="00B06498"/>
    <w:rsid w:val="00B159AB"/>
    <w:rsid w:val="00B162C9"/>
    <w:rsid w:val="00B170B1"/>
    <w:rsid w:val="00B2655E"/>
    <w:rsid w:val="00B30FD8"/>
    <w:rsid w:val="00B3472B"/>
    <w:rsid w:val="00B35E47"/>
    <w:rsid w:val="00B402F6"/>
    <w:rsid w:val="00B41C6E"/>
    <w:rsid w:val="00B448A3"/>
    <w:rsid w:val="00B4747C"/>
    <w:rsid w:val="00B610FF"/>
    <w:rsid w:val="00B66D30"/>
    <w:rsid w:val="00B72AAF"/>
    <w:rsid w:val="00B7459D"/>
    <w:rsid w:val="00B766B1"/>
    <w:rsid w:val="00B80895"/>
    <w:rsid w:val="00B81B36"/>
    <w:rsid w:val="00B85A9A"/>
    <w:rsid w:val="00B91720"/>
    <w:rsid w:val="00B96BFD"/>
    <w:rsid w:val="00BA0BEE"/>
    <w:rsid w:val="00BA0C4A"/>
    <w:rsid w:val="00BA52CB"/>
    <w:rsid w:val="00BA5606"/>
    <w:rsid w:val="00BB0C2E"/>
    <w:rsid w:val="00BB138D"/>
    <w:rsid w:val="00BB6B05"/>
    <w:rsid w:val="00BC13AF"/>
    <w:rsid w:val="00BD2601"/>
    <w:rsid w:val="00BD2EC1"/>
    <w:rsid w:val="00BD36BD"/>
    <w:rsid w:val="00BD6F0B"/>
    <w:rsid w:val="00BE3336"/>
    <w:rsid w:val="00BE3C3A"/>
    <w:rsid w:val="00BE5426"/>
    <w:rsid w:val="00BF3AFC"/>
    <w:rsid w:val="00BF683A"/>
    <w:rsid w:val="00C06B71"/>
    <w:rsid w:val="00C075CC"/>
    <w:rsid w:val="00C07C71"/>
    <w:rsid w:val="00C12C2A"/>
    <w:rsid w:val="00C1379D"/>
    <w:rsid w:val="00C145D1"/>
    <w:rsid w:val="00C14ACF"/>
    <w:rsid w:val="00C1563D"/>
    <w:rsid w:val="00C15BF6"/>
    <w:rsid w:val="00C20FEE"/>
    <w:rsid w:val="00C232C0"/>
    <w:rsid w:val="00C30FF9"/>
    <w:rsid w:val="00C312C2"/>
    <w:rsid w:val="00C317CF"/>
    <w:rsid w:val="00C36086"/>
    <w:rsid w:val="00C36316"/>
    <w:rsid w:val="00C5412D"/>
    <w:rsid w:val="00C54B9D"/>
    <w:rsid w:val="00C63433"/>
    <w:rsid w:val="00C63EF2"/>
    <w:rsid w:val="00C713CB"/>
    <w:rsid w:val="00C74F80"/>
    <w:rsid w:val="00C779F1"/>
    <w:rsid w:val="00C8106A"/>
    <w:rsid w:val="00C82E05"/>
    <w:rsid w:val="00C84EDD"/>
    <w:rsid w:val="00C854BD"/>
    <w:rsid w:val="00C86DBC"/>
    <w:rsid w:val="00C9269F"/>
    <w:rsid w:val="00C92942"/>
    <w:rsid w:val="00C93728"/>
    <w:rsid w:val="00C96491"/>
    <w:rsid w:val="00C973F6"/>
    <w:rsid w:val="00C974D5"/>
    <w:rsid w:val="00CA401B"/>
    <w:rsid w:val="00CB0534"/>
    <w:rsid w:val="00CB23FE"/>
    <w:rsid w:val="00CB6B57"/>
    <w:rsid w:val="00CC1BB6"/>
    <w:rsid w:val="00CD11AB"/>
    <w:rsid w:val="00CD1374"/>
    <w:rsid w:val="00CD64AB"/>
    <w:rsid w:val="00CD6A22"/>
    <w:rsid w:val="00CE371C"/>
    <w:rsid w:val="00D01A8C"/>
    <w:rsid w:val="00D024F9"/>
    <w:rsid w:val="00D0460C"/>
    <w:rsid w:val="00D065F2"/>
    <w:rsid w:val="00D06911"/>
    <w:rsid w:val="00D07750"/>
    <w:rsid w:val="00D10A97"/>
    <w:rsid w:val="00D147F7"/>
    <w:rsid w:val="00D1524A"/>
    <w:rsid w:val="00D17D2B"/>
    <w:rsid w:val="00D20948"/>
    <w:rsid w:val="00D23162"/>
    <w:rsid w:val="00D25A3E"/>
    <w:rsid w:val="00D2692B"/>
    <w:rsid w:val="00D3120F"/>
    <w:rsid w:val="00D37F82"/>
    <w:rsid w:val="00D43DD4"/>
    <w:rsid w:val="00D4428F"/>
    <w:rsid w:val="00D44FF5"/>
    <w:rsid w:val="00D51D86"/>
    <w:rsid w:val="00D52469"/>
    <w:rsid w:val="00D61074"/>
    <w:rsid w:val="00D6150B"/>
    <w:rsid w:val="00D62D97"/>
    <w:rsid w:val="00D63858"/>
    <w:rsid w:val="00D66ABD"/>
    <w:rsid w:val="00D74EF7"/>
    <w:rsid w:val="00D7587A"/>
    <w:rsid w:val="00D94064"/>
    <w:rsid w:val="00D962DA"/>
    <w:rsid w:val="00DA5A37"/>
    <w:rsid w:val="00DA6CFA"/>
    <w:rsid w:val="00DB0870"/>
    <w:rsid w:val="00DB0954"/>
    <w:rsid w:val="00DB21CF"/>
    <w:rsid w:val="00DB42FC"/>
    <w:rsid w:val="00DB627E"/>
    <w:rsid w:val="00DC7AB5"/>
    <w:rsid w:val="00DC7DE9"/>
    <w:rsid w:val="00DD296B"/>
    <w:rsid w:val="00DD3A4E"/>
    <w:rsid w:val="00DD5905"/>
    <w:rsid w:val="00DD7E63"/>
    <w:rsid w:val="00DE55F7"/>
    <w:rsid w:val="00DF00F4"/>
    <w:rsid w:val="00DF0281"/>
    <w:rsid w:val="00DF05A2"/>
    <w:rsid w:val="00E02018"/>
    <w:rsid w:val="00E02F20"/>
    <w:rsid w:val="00E04D05"/>
    <w:rsid w:val="00E057DF"/>
    <w:rsid w:val="00E15844"/>
    <w:rsid w:val="00E2106A"/>
    <w:rsid w:val="00E22948"/>
    <w:rsid w:val="00E32B82"/>
    <w:rsid w:val="00E40BB5"/>
    <w:rsid w:val="00E40C7C"/>
    <w:rsid w:val="00E418BF"/>
    <w:rsid w:val="00E42A1F"/>
    <w:rsid w:val="00E431D9"/>
    <w:rsid w:val="00E43C0E"/>
    <w:rsid w:val="00E45B6E"/>
    <w:rsid w:val="00E478BF"/>
    <w:rsid w:val="00E50AB9"/>
    <w:rsid w:val="00E50B57"/>
    <w:rsid w:val="00E511CD"/>
    <w:rsid w:val="00E52561"/>
    <w:rsid w:val="00E613FD"/>
    <w:rsid w:val="00E64648"/>
    <w:rsid w:val="00E65B0E"/>
    <w:rsid w:val="00E67BC2"/>
    <w:rsid w:val="00E84ABF"/>
    <w:rsid w:val="00E84C7C"/>
    <w:rsid w:val="00E86A47"/>
    <w:rsid w:val="00E930FA"/>
    <w:rsid w:val="00E93B9E"/>
    <w:rsid w:val="00EA135A"/>
    <w:rsid w:val="00EA20FE"/>
    <w:rsid w:val="00EA61AF"/>
    <w:rsid w:val="00EB132B"/>
    <w:rsid w:val="00EB1A6B"/>
    <w:rsid w:val="00EB63AD"/>
    <w:rsid w:val="00EC0238"/>
    <w:rsid w:val="00EC29B6"/>
    <w:rsid w:val="00EC2D49"/>
    <w:rsid w:val="00EC2F8E"/>
    <w:rsid w:val="00EC504B"/>
    <w:rsid w:val="00EC58A1"/>
    <w:rsid w:val="00ED1658"/>
    <w:rsid w:val="00ED1EAC"/>
    <w:rsid w:val="00ED33C5"/>
    <w:rsid w:val="00ED4B47"/>
    <w:rsid w:val="00ED4C6C"/>
    <w:rsid w:val="00EE1D4D"/>
    <w:rsid w:val="00EE2CF9"/>
    <w:rsid w:val="00EE5241"/>
    <w:rsid w:val="00EE746B"/>
    <w:rsid w:val="00EF12BB"/>
    <w:rsid w:val="00EF1AC4"/>
    <w:rsid w:val="00EF496A"/>
    <w:rsid w:val="00EF682A"/>
    <w:rsid w:val="00EF698A"/>
    <w:rsid w:val="00F014DB"/>
    <w:rsid w:val="00F06F71"/>
    <w:rsid w:val="00F07005"/>
    <w:rsid w:val="00F11E73"/>
    <w:rsid w:val="00F13E90"/>
    <w:rsid w:val="00F174E8"/>
    <w:rsid w:val="00F1775D"/>
    <w:rsid w:val="00F20BB4"/>
    <w:rsid w:val="00F20DAB"/>
    <w:rsid w:val="00F230FD"/>
    <w:rsid w:val="00F23EF8"/>
    <w:rsid w:val="00F25BA9"/>
    <w:rsid w:val="00F260D3"/>
    <w:rsid w:val="00F26C5F"/>
    <w:rsid w:val="00F338BE"/>
    <w:rsid w:val="00F35E9C"/>
    <w:rsid w:val="00F4316A"/>
    <w:rsid w:val="00F44B5E"/>
    <w:rsid w:val="00F45B0D"/>
    <w:rsid w:val="00F4671E"/>
    <w:rsid w:val="00F4688B"/>
    <w:rsid w:val="00F53F61"/>
    <w:rsid w:val="00F54D14"/>
    <w:rsid w:val="00F565F3"/>
    <w:rsid w:val="00F56C8F"/>
    <w:rsid w:val="00F57890"/>
    <w:rsid w:val="00F66B1B"/>
    <w:rsid w:val="00F70E55"/>
    <w:rsid w:val="00F75AAE"/>
    <w:rsid w:val="00F76DE8"/>
    <w:rsid w:val="00F77EA9"/>
    <w:rsid w:val="00F80781"/>
    <w:rsid w:val="00F826F6"/>
    <w:rsid w:val="00F85800"/>
    <w:rsid w:val="00F878E8"/>
    <w:rsid w:val="00F924B3"/>
    <w:rsid w:val="00F94E24"/>
    <w:rsid w:val="00F96939"/>
    <w:rsid w:val="00FA1CDE"/>
    <w:rsid w:val="00FB34C9"/>
    <w:rsid w:val="00FB37B1"/>
    <w:rsid w:val="00FB5C50"/>
    <w:rsid w:val="00FB6BB5"/>
    <w:rsid w:val="00FB7600"/>
    <w:rsid w:val="00FC23E0"/>
    <w:rsid w:val="00FC54C3"/>
    <w:rsid w:val="00FD3901"/>
    <w:rsid w:val="00FD5633"/>
    <w:rsid w:val="00FD7CCF"/>
    <w:rsid w:val="00FE24D6"/>
    <w:rsid w:val="00FE39DC"/>
    <w:rsid w:val="00FE4EFE"/>
    <w:rsid w:val="00FF0272"/>
    <w:rsid w:val="00FF2315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0AD5F"/>
  <w15:chartTrackingRefBased/>
  <w15:docId w15:val="{0E7E5524-F7BD-47B2-9669-32DE0016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3B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GB" w:eastAsia="el-G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83BB7"/>
    <w:rPr>
      <w:rFonts w:ascii="Times New Roman" w:eastAsia="Times New Roman" w:hAnsi="Times New Roman" w:cs="Times New Roman"/>
      <w:color w:val="000000"/>
      <w:kern w:val="0"/>
      <w:sz w:val="24"/>
      <w:szCs w:val="20"/>
      <w:lang w:val="en-GB" w:eastAsia="el-GR"/>
      <w14:ligatures w14:val="none"/>
    </w:rPr>
  </w:style>
  <w:style w:type="character" w:styleId="Hyperlink">
    <w:name w:val="Hyperlink"/>
    <w:uiPriority w:val="99"/>
    <w:unhideWhenUsed/>
    <w:rsid w:val="00483BB7"/>
    <w:rPr>
      <w:color w:val="0000FF"/>
      <w:u w:val="single"/>
    </w:rPr>
  </w:style>
  <w:style w:type="paragraph" w:styleId="Revision">
    <w:name w:val="Revision"/>
    <w:hidden/>
    <w:uiPriority w:val="99"/>
    <w:semiHidden/>
    <w:rsid w:val="00FC23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1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3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7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EA"/>
  </w:style>
  <w:style w:type="paragraph" w:styleId="FootnoteText">
    <w:name w:val="footnote text"/>
    <w:basedOn w:val="Normal"/>
    <w:link w:val="FootnoteTextChar"/>
    <w:uiPriority w:val="99"/>
    <w:semiHidden/>
    <w:unhideWhenUsed/>
    <w:rsid w:val="000C42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2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2B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613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C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nkofgreece.gr/RelatedDocuments/20.08.2025_%CE%99%CF%83%CE%BF%CE%B6%CF%8D%CE%B3%CE%B9%CE%BF_%CE%A0%CE%BB%CE%B7%CF%81%CF%89%CE%BC%CF%8E%CE%BD_%CE%99%CE%BF%CF%8D%CE%BD%CE%B9%CE%BF%CF%82_2025_%CE%A0%CE%AF%CE%BD%CE%B1%CE%BA%CE%B1%CF%82.xls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ofgreece.gr" TargetMode="External"/><Relationship Id="rId1" Type="http://schemas.openxmlformats.org/officeDocument/2006/relationships/hyperlink" Target="mailto:press@bankofgree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DAA_Forms_Attachments" ma:contentTypeID="0x0101006B5553C3EDA2D84591F13E6AB83077FA00CFC830F019664B478D19A19E7E074E8D" ma:contentTypeVersion="4" ma:contentTypeDescription="" ma:contentTypeScope="" ma:versionID="878cbc6482ec4d781e3b80e6367bb623">
  <xsd:schema xmlns:xsd="http://www.w3.org/2001/XMLSchema" xmlns:xs="http://www.w3.org/2001/XMLSchema" xmlns:p="http://schemas.microsoft.com/office/2006/metadata/properties" xmlns:ns2="affbdc7b-1773-4a70-a615-fbfa6c8a3310" targetNamespace="http://schemas.microsoft.com/office/2006/metadata/properties" ma:root="true" ma:fieldsID="7aaf8c12020e8d9cbcd9514a817a7d7f" ns2:_="">
    <xsd:import namespace="affbdc7b-1773-4a70-a615-fbfa6c8a3310"/>
    <xsd:element name="properties">
      <xsd:complexType>
        <xsd:sequence>
          <xsd:element name="documentManagement">
            <xsd:complexType>
              <xsd:all>
                <xsd:element ref="ns2:SHDAA_Request_ID" minOccurs="0"/>
                <xsd:element ref="ns2:SHDAA_Tit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bdc7b-1773-4a70-a615-fbfa6c8a3310" elementFormDefault="qualified">
    <xsd:import namespace="http://schemas.microsoft.com/office/2006/documentManagement/types"/>
    <xsd:import namespace="http://schemas.microsoft.com/office/infopath/2007/PartnerControls"/>
    <xsd:element name="SHDAA_Request_ID" ma:index="8" nillable="true" ma:displayName="SHDAA_Request_ID" ma:internalName="SHDAA_Request_ID">
      <xsd:simpleType>
        <xsd:restriction base="dms:Text">
          <xsd:maxLength value="255"/>
        </xsd:restriction>
      </xsd:simpleType>
    </xsd:element>
    <xsd:element name="SHDAA_Title" ma:index="9" nillable="true" ma:displayName="SHDAA_Title" ma:internalName="SHDAA_Title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DAA_Title xmlns="affbdc7b-1773-4a70-a615-fbfa6c8a3310" xsi:nil="true"/>
    <SHDAA_Request_ID xmlns="affbdc7b-1773-4a70-a615-fbfa6c8a33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B817-C998-45A4-9742-54CF5AC45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bdc7b-1773-4a70-a615-fbfa6c8a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83CB2-242F-4E21-A84C-71F75BE45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58702-2647-4A4B-BE3A-466ADBE5B46B}">
  <ds:schemaRefs>
    <ds:schemaRef ds:uri="http://schemas.microsoft.com/office/2006/metadata/properties"/>
    <ds:schemaRef ds:uri="http://schemas.microsoft.com/office/infopath/2007/PartnerControls"/>
    <ds:schemaRef ds:uri="affbdc7b-1773-4a70-a615-fbfa6c8a3310"/>
  </ds:schemaRefs>
</ds:datastoreItem>
</file>

<file path=customXml/itemProps4.xml><?xml version="1.0" encoding="utf-8"?>
<ds:datastoreItem xmlns:ds="http://schemas.openxmlformats.org/officeDocument/2006/customXml" ds:itemID="{61C255BB-904E-44B2-B3EF-930CB3BE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Papadopoulou Aimilia</dc:creator>
  <cp:keywords/>
  <dc:description/>
  <cp:lastModifiedBy>DANOU, Kleopatra</cp:lastModifiedBy>
  <cp:revision>3</cp:revision>
  <cp:lastPrinted>2025-08-18T07:08:00Z</cp:lastPrinted>
  <dcterms:created xsi:type="dcterms:W3CDTF">2025-08-20T05:55:00Z</dcterms:created>
  <dcterms:modified xsi:type="dcterms:W3CDTF">2025-08-20T07:16:00Z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0x0101006B5553C3EDA2D84591F13E6AB83077FA00CFC830F019664B478D19A19E7E074E8D</vt:lpwstr>
  </property>
  <property fmtid="{D5CDD505-2E9C-101B-9397-08002B2CF9AE}" pid="3" name="MSIP_Label_2e64f240-1db5-4acf-9bde-572066689a31_Enabled">
    <vt:lpwstr>true</vt:lpwstr>
  </property>
  <property fmtid="{D5CDD505-2E9C-101B-9397-08002B2CF9AE}" pid="4" name="MSIP_Label_2e64f240-1db5-4acf-9bde-572066689a31_SetDate">
    <vt:lpwstr>2025-08-14T07:54:55Z</vt:lpwstr>
  </property>
  <property fmtid="{D5CDD505-2E9C-101B-9397-08002B2CF9AE}" pid="5" name="MSIP_Label_2e64f240-1db5-4acf-9bde-572066689a31_Method">
    <vt:lpwstr>Privileged</vt:lpwstr>
  </property>
  <property fmtid="{D5CDD505-2E9C-101B-9397-08002B2CF9AE}" pid="6" name="MSIP_Label_2e64f240-1db5-4acf-9bde-572066689a31_Name">
    <vt:lpwstr>ΧΩΡΙΣ ΧΑΡΑΚΤΗΡΙΣΜΟ ΑΣΦΑΛΕΙΑΣ</vt:lpwstr>
  </property>
  <property fmtid="{D5CDD505-2E9C-101B-9397-08002B2CF9AE}" pid="7" name="MSIP_Label_2e64f240-1db5-4acf-9bde-572066689a31_SiteId">
    <vt:lpwstr>dabae695-3d3b-4e5d-ab49-009605ba5c68</vt:lpwstr>
  </property>
  <property fmtid="{D5CDD505-2E9C-101B-9397-08002B2CF9AE}" pid="8" name="MSIP_Label_2e64f240-1db5-4acf-9bde-572066689a31_ActionId">
    <vt:lpwstr>1507d7b3-4aaf-4e5b-982d-ca8f61dbd455</vt:lpwstr>
  </property>
  <property fmtid="{D5CDD505-2E9C-101B-9397-08002B2CF9AE}" pid="9" name="MSIP_Label_2e64f240-1db5-4acf-9bde-572066689a31_ContentBits">
    <vt:lpwstr>0</vt:lpwstr>
  </property>
  <property fmtid="{D5CDD505-2E9C-101B-9397-08002B2CF9AE}" pid="10" name="MSIP_Label_2e64f240-1db5-4acf-9bde-572066689a31_Tag">
    <vt:lpwstr>10, 0, 1, 1</vt:lpwstr>
  </property>
</Properties>
</file>