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DE0FF" w14:textId="77777777" w:rsidR="00852D18" w:rsidRDefault="0084182E" w:rsidP="0084182E">
      <w:pPr>
        <w:pStyle w:val="BodyText"/>
        <w:tabs>
          <w:tab w:val="left" w:pos="4489"/>
        </w:tabs>
        <w:rPr>
          <w:rFonts w:ascii="Times New Roman"/>
          <w:sz w:val="20"/>
        </w:rPr>
      </w:pPr>
      <w:r>
        <w:rPr>
          <w:rFonts w:ascii="Times New Roman"/>
          <w:sz w:val="20"/>
        </w:rPr>
        <w:tab/>
      </w:r>
    </w:p>
    <w:p w14:paraId="581D42C5" w14:textId="77777777" w:rsidR="00F57492" w:rsidRDefault="00F57492" w:rsidP="0084182E">
      <w:pPr>
        <w:pStyle w:val="BodyText"/>
        <w:tabs>
          <w:tab w:val="left" w:pos="4489"/>
        </w:tabs>
        <w:rPr>
          <w:rFonts w:ascii="Times New Roman"/>
          <w:sz w:val="20"/>
        </w:rPr>
      </w:pPr>
    </w:p>
    <w:p w14:paraId="759758E1" w14:textId="77777777" w:rsidR="00D8713B" w:rsidRDefault="00D8713B" w:rsidP="0084182E">
      <w:pPr>
        <w:pStyle w:val="BodyText"/>
        <w:tabs>
          <w:tab w:val="left" w:pos="4489"/>
        </w:tabs>
        <w:rPr>
          <w:rFonts w:ascii="Times New Roman"/>
          <w:sz w:val="20"/>
        </w:rPr>
      </w:pPr>
    </w:p>
    <w:p w14:paraId="6C7BFD2E" w14:textId="77777777" w:rsidR="00C56999" w:rsidRDefault="00C56999" w:rsidP="0084182E">
      <w:pPr>
        <w:pStyle w:val="BodyText"/>
        <w:tabs>
          <w:tab w:val="left" w:pos="4489"/>
        </w:tabs>
        <w:rPr>
          <w:rFonts w:ascii="Times New Roman"/>
          <w:sz w:val="20"/>
        </w:rPr>
      </w:pPr>
    </w:p>
    <w:p w14:paraId="219547F8" w14:textId="77777777" w:rsidR="00C56999" w:rsidRDefault="00C56999" w:rsidP="0084182E">
      <w:pPr>
        <w:pStyle w:val="BodyText"/>
        <w:tabs>
          <w:tab w:val="left" w:pos="4489"/>
        </w:tabs>
        <w:rPr>
          <w:rFonts w:ascii="Times New Roman"/>
          <w:sz w:val="20"/>
        </w:rPr>
      </w:pPr>
    </w:p>
    <w:p w14:paraId="4A39A8D2" w14:textId="5CDBFCEE" w:rsidR="00B044EE" w:rsidRPr="00484F12" w:rsidRDefault="005511E3" w:rsidP="00B044EE">
      <w:pPr>
        <w:pStyle w:val="Heading1"/>
        <w:tabs>
          <w:tab w:val="left" w:pos="10725"/>
        </w:tabs>
        <w:spacing w:before="240"/>
        <w:rPr>
          <w:color w:val="021142"/>
          <w:shd w:val="clear" w:color="auto" w:fill="E6E7E8"/>
          <w:lang w:val="el-GR"/>
        </w:rPr>
      </w:pPr>
      <w:r w:rsidRPr="005F25B6">
        <w:rPr>
          <w:rFonts w:ascii="Times New Roman" w:hAnsi="Times New Roman"/>
          <w:b w:val="0"/>
          <w:color w:val="021142"/>
          <w:shd w:val="clear" w:color="auto" w:fill="E6E7E8"/>
          <w:lang w:val="el-GR"/>
        </w:rPr>
        <w:t xml:space="preserve"> </w:t>
      </w:r>
      <w:r w:rsidR="00B14335">
        <w:rPr>
          <w:color w:val="021142"/>
          <w:shd w:val="clear" w:color="auto" w:fill="E6E7E8"/>
          <w:lang w:val="el-GR"/>
        </w:rPr>
        <w:t>Οικονομικά Αποτελέσματα</w:t>
      </w:r>
      <w:r w:rsidR="00364250">
        <w:rPr>
          <w:color w:val="021142"/>
          <w:shd w:val="clear" w:color="auto" w:fill="E6E7E8"/>
          <w:lang w:val="el-GR"/>
        </w:rPr>
        <w:t xml:space="preserve"> </w:t>
      </w:r>
      <w:r w:rsidR="00D56F06">
        <w:rPr>
          <w:color w:val="021142"/>
          <w:shd w:val="clear" w:color="auto" w:fill="E6E7E8"/>
          <w:lang w:val="el-GR"/>
        </w:rPr>
        <w:t>Α΄</w:t>
      </w:r>
      <w:r w:rsidR="003A5421">
        <w:rPr>
          <w:color w:val="021142"/>
          <w:shd w:val="clear" w:color="auto" w:fill="E6E7E8"/>
          <w:lang w:val="el-GR"/>
        </w:rPr>
        <w:t xml:space="preserve"> Εξαμήνου </w:t>
      </w:r>
      <w:r w:rsidR="00CC3D8A">
        <w:rPr>
          <w:color w:val="021142"/>
          <w:shd w:val="clear" w:color="auto" w:fill="E6E7E8"/>
          <w:lang w:val="el-GR"/>
        </w:rPr>
        <w:t>202</w:t>
      </w:r>
      <w:r w:rsidR="00D56F06">
        <w:rPr>
          <w:color w:val="021142"/>
          <w:shd w:val="clear" w:color="auto" w:fill="E6E7E8"/>
          <w:lang w:val="el-GR"/>
        </w:rPr>
        <w:t>5</w:t>
      </w:r>
      <w:r w:rsidR="00D56F06">
        <w:rPr>
          <w:color w:val="021142"/>
          <w:shd w:val="clear" w:color="auto" w:fill="E6E7E8"/>
          <w:vertAlign w:val="superscript"/>
          <w:lang w:val="el-GR"/>
        </w:rPr>
        <w:t xml:space="preserve">                                                                                           </w:t>
      </w:r>
      <w:r w:rsidR="002E08D3">
        <w:rPr>
          <w:color w:val="021142"/>
          <w:shd w:val="clear" w:color="auto" w:fill="E6E7E8"/>
          <w:vertAlign w:val="superscript"/>
          <w:lang w:val="el-GR"/>
        </w:rPr>
        <w:t xml:space="preserve"> </w:t>
      </w:r>
    </w:p>
    <w:p w14:paraId="210E6E83" w14:textId="77777777" w:rsidR="00B044EE" w:rsidRPr="005F25B6" w:rsidRDefault="00B044EE" w:rsidP="00B044EE">
      <w:pPr>
        <w:pStyle w:val="BodyText"/>
        <w:spacing w:before="4"/>
        <w:rPr>
          <w:b/>
          <w:sz w:val="18"/>
          <w:lang w:val="el-GR"/>
        </w:rPr>
      </w:pPr>
    </w:p>
    <w:p w14:paraId="41B2527C" w14:textId="77777777" w:rsidR="00EB289B" w:rsidRDefault="00EB289B" w:rsidP="00EB289B">
      <w:pPr>
        <w:pStyle w:val="ListParagraph"/>
        <w:spacing w:before="103" w:line="360" w:lineRule="auto"/>
        <w:ind w:left="749"/>
        <w:rPr>
          <w:b/>
          <w:bCs/>
          <w:color w:val="021142"/>
          <w:lang w:val="el-GR"/>
        </w:rPr>
      </w:pPr>
    </w:p>
    <w:p w14:paraId="0826FD67" w14:textId="05712783" w:rsidR="00A35BB3" w:rsidRDefault="00F9142A" w:rsidP="0040283B">
      <w:pPr>
        <w:pStyle w:val="ListParagraph"/>
        <w:numPr>
          <w:ilvl w:val="0"/>
          <w:numId w:val="7"/>
        </w:numPr>
        <w:tabs>
          <w:tab w:val="left" w:pos="396"/>
        </w:tabs>
        <w:spacing w:before="103" w:line="480" w:lineRule="auto"/>
        <w:ind w:left="714" w:right="340" w:hanging="357"/>
        <w:rPr>
          <w:color w:val="021142"/>
          <w:lang w:val="el-GR"/>
        </w:rPr>
      </w:pPr>
      <w:r>
        <w:rPr>
          <w:color w:val="021142"/>
          <w:lang w:val="el-GR"/>
        </w:rPr>
        <w:t>Κ</w:t>
      </w:r>
      <w:r w:rsidR="006C6641" w:rsidRPr="0040283B">
        <w:rPr>
          <w:color w:val="021142"/>
          <w:lang w:val="el-GR"/>
        </w:rPr>
        <w:t>αθαρά κέρδη</w:t>
      </w:r>
      <w:r w:rsidR="00E81568" w:rsidRPr="0040283B">
        <w:rPr>
          <w:color w:val="021142"/>
          <w:lang w:val="el-GR"/>
        </w:rPr>
        <w:t xml:space="preserve"> ανά μετοχή</w:t>
      </w:r>
      <w:r w:rsidR="00316D1B" w:rsidRPr="0040283B">
        <w:rPr>
          <w:color w:val="021142"/>
          <w:lang w:val="el-GR"/>
        </w:rPr>
        <w:t xml:space="preserve"> </w:t>
      </w:r>
      <w:r w:rsidR="00E81568" w:rsidRPr="0040283B">
        <w:rPr>
          <w:color w:val="021142"/>
          <w:lang w:val="el-GR"/>
        </w:rPr>
        <w:t>€</w:t>
      </w:r>
      <w:r w:rsidR="0030399A" w:rsidRPr="00950E8F">
        <w:rPr>
          <w:color w:val="021142"/>
          <w:lang w:val="el-GR"/>
        </w:rPr>
        <w:t>19</w:t>
      </w:r>
      <w:r w:rsidR="003A5421" w:rsidRPr="0040283B">
        <w:rPr>
          <w:color w:val="021142"/>
          <w:lang w:val="el-GR"/>
        </w:rPr>
        <w:t xml:space="preserve"> </w:t>
      </w:r>
      <w:r w:rsidR="0054239B" w:rsidRPr="0040283B">
        <w:rPr>
          <w:color w:val="021142"/>
          <w:lang w:val="el-GR"/>
        </w:rPr>
        <w:t>σεντς</w:t>
      </w:r>
      <w:r w:rsidR="006C6641" w:rsidRPr="0040283B">
        <w:rPr>
          <w:color w:val="021142"/>
          <w:lang w:val="el-GR"/>
        </w:rPr>
        <w:t xml:space="preserve"> </w:t>
      </w:r>
    </w:p>
    <w:p w14:paraId="3CAD0DBF" w14:textId="3DAB5827" w:rsidR="00EA336F" w:rsidRDefault="00EA336F" w:rsidP="00EA336F">
      <w:pPr>
        <w:pStyle w:val="ListParagraph"/>
        <w:numPr>
          <w:ilvl w:val="0"/>
          <w:numId w:val="7"/>
        </w:numPr>
        <w:tabs>
          <w:tab w:val="left" w:pos="396"/>
        </w:tabs>
        <w:spacing w:before="103" w:line="480" w:lineRule="auto"/>
        <w:ind w:left="714" w:right="340" w:hanging="357"/>
        <w:rPr>
          <w:color w:val="021142"/>
          <w:lang w:val="el-GR"/>
        </w:rPr>
      </w:pPr>
      <w:r>
        <w:rPr>
          <w:color w:val="021142"/>
          <w:lang w:val="el-GR"/>
        </w:rPr>
        <w:t>Α</w:t>
      </w:r>
      <w:r w:rsidRPr="00BF2825">
        <w:rPr>
          <w:color w:val="021142"/>
          <w:lang w:val="el-GR"/>
        </w:rPr>
        <w:t>πόδοση ενσώματων ιδίων κεφαλαίων</w:t>
      </w:r>
      <w:r w:rsidRPr="00950E8F">
        <w:rPr>
          <w:color w:val="021142"/>
          <w:vertAlign w:val="superscript"/>
          <w:lang w:val="el-GR"/>
        </w:rPr>
        <w:t xml:space="preserve"> </w:t>
      </w:r>
      <w:r w:rsidR="0030399A" w:rsidRPr="00950E8F">
        <w:rPr>
          <w:color w:val="021142"/>
          <w:lang w:val="el-GR"/>
        </w:rPr>
        <w:t>16,6</w:t>
      </w:r>
      <w:r w:rsidRPr="00CD53D6">
        <w:rPr>
          <w:color w:val="021142"/>
          <w:lang w:val="el-GR"/>
        </w:rPr>
        <w:t>%</w:t>
      </w:r>
    </w:p>
    <w:p w14:paraId="41BAA71B" w14:textId="48FA7BE3" w:rsidR="00314E0D" w:rsidRDefault="00314E0D" w:rsidP="00314E0D">
      <w:pPr>
        <w:pStyle w:val="ListParagraph"/>
        <w:numPr>
          <w:ilvl w:val="0"/>
          <w:numId w:val="7"/>
        </w:numPr>
        <w:tabs>
          <w:tab w:val="left" w:pos="396"/>
        </w:tabs>
        <w:spacing w:before="103" w:line="480" w:lineRule="auto"/>
        <w:ind w:left="714" w:right="340" w:hanging="357"/>
        <w:rPr>
          <w:color w:val="021142"/>
          <w:lang w:val="el-GR"/>
        </w:rPr>
      </w:pPr>
      <w:r>
        <w:rPr>
          <w:color w:val="021142"/>
          <w:lang w:val="el-GR"/>
        </w:rPr>
        <w:t>Ε</w:t>
      </w:r>
      <w:r w:rsidRPr="00170542">
        <w:rPr>
          <w:color w:val="021142"/>
          <w:lang w:val="el-GR"/>
        </w:rPr>
        <w:t>νσώματα ίδια κεφάλαια</w:t>
      </w:r>
      <w:r>
        <w:rPr>
          <w:color w:val="021142"/>
          <w:lang w:val="el-GR"/>
        </w:rPr>
        <w:t xml:space="preserve"> </w:t>
      </w:r>
      <w:r w:rsidRPr="00170542">
        <w:rPr>
          <w:color w:val="021142"/>
          <w:lang w:val="el-GR"/>
        </w:rPr>
        <w:t>ανά μετοχή</w:t>
      </w:r>
      <w:r>
        <w:rPr>
          <w:color w:val="021142"/>
          <w:lang w:val="el-GR"/>
        </w:rPr>
        <w:t xml:space="preserve"> €</w:t>
      </w:r>
      <w:r w:rsidRPr="00950E8F">
        <w:rPr>
          <w:color w:val="021142"/>
          <w:lang w:val="el-GR"/>
        </w:rPr>
        <w:t>2,38</w:t>
      </w:r>
      <w:r w:rsidRPr="007C41E4">
        <w:rPr>
          <w:color w:val="021142"/>
          <w:lang w:val="el-GR"/>
        </w:rPr>
        <w:t xml:space="preserve">, </w:t>
      </w:r>
      <w:r>
        <w:rPr>
          <w:color w:val="021142"/>
          <w:lang w:val="el-GR"/>
        </w:rPr>
        <w:t xml:space="preserve">μετά από μέρισμα 10,6 σεντς/μετοχή για το 2024 </w:t>
      </w:r>
    </w:p>
    <w:p w14:paraId="5AD3FF01" w14:textId="03B1ADB1" w:rsidR="000328E8" w:rsidRPr="0040283B" w:rsidRDefault="000328E8" w:rsidP="0040283B">
      <w:pPr>
        <w:pStyle w:val="ListParagraph"/>
        <w:numPr>
          <w:ilvl w:val="0"/>
          <w:numId w:val="7"/>
        </w:numPr>
        <w:tabs>
          <w:tab w:val="left" w:pos="396"/>
        </w:tabs>
        <w:spacing w:before="103" w:line="480" w:lineRule="auto"/>
        <w:ind w:left="714" w:right="340" w:hanging="357"/>
        <w:rPr>
          <w:color w:val="021142"/>
          <w:lang w:val="el-GR"/>
        </w:rPr>
      </w:pPr>
      <w:r>
        <w:rPr>
          <w:color w:val="021142"/>
          <w:lang w:val="el-GR"/>
        </w:rPr>
        <w:t>Συνεισφορά των</w:t>
      </w:r>
      <w:r w:rsidR="007D19C5" w:rsidRPr="007D19C5">
        <w:rPr>
          <w:color w:val="021142"/>
          <w:lang w:val="el-GR"/>
        </w:rPr>
        <w:t xml:space="preserve"> </w:t>
      </w:r>
      <w:r w:rsidR="007D19C5">
        <w:rPr>
          <w:color w:val="021142"/>
          <w:lang w:val="el-GR"/>
        </w:rPr>
        <w:t>εργασιών εκτός Ελλάδος</w:t>
      </w:r>
      <w:r>
        <w:rPr>
          <w:color w:val="021142"/>
          <w:lang w:val="el-GR"/>
        </w:rPr>
        <w:t xml:space="preserve"> στα </w:t>
      </w:r>
      <w:r w:rsidR="00670C1E">
        <w:rPr>
          <w:color w:val="021142"/>
          <w:lang w:val="el-GR"/>
        </w:rPr>
        <w:t xml:space="preserve">προσαρμοσμένα καθαρά </w:t>
      </w:r>
      <w:r>
        <w:rPr>
          <w:color w:val="021142"/>
          <w:lang w:val="el-GR"/>
        </w:rPr>
        <w:t xml:space="preserve">κέρδη </w:t>
      </w:r>
      <w:r w:rsidR="00670C1E">
        <w:rPr>
          <w:color w:val="021142"/>
          <w:lang w:val="el-GR"/>
        </w:rPr>
        <w:t xml:space="preserve">53% </w:t>
      </w:r>
      <w:r w:rsidR="00AF3EFB" w:rsidRPr="00E84D07">
        <w:rPr>
          <w:color w:val="021142"/>
          <w:lang w:val="el-GR"/>
        </w:rPr>
        <w:t xml:space="preserve"> </w:t>
      </w:r>
    </w:p>
    <w:p w14:paraId="0B4A7431" w14:textId="0CFE29C8" w:rsidR="004673FF" w:rsidRDefault="004673FF" w:rsidP="007C3CC6">
      <w:pPr>
        <w:pStyle w:val="ListParagraph"/>
        <w:numPr>
          <w:ilvl w:val="0"/>
          <w:numId w:val="7"/>
        </w:numPr>
        <w:tabs>
          <w:tab w:val="left" w:pos="396"/>
        </w:tabs>
        <w:spacing w:before="103" w:line="480" w:lineRule="auto"/>
        <w:ind w:left="714" w:right="340" w:hanging="357"/>
        <w:rPr>
          <w:color w:val="021142"/>
          <w:lang w:val="el-GR"/>
        </w:rPr>
      </w:pPr>
      <w:r>
        <w:rPr>
          <w:color w:val="021142"/>
          <w:lang w:val="el-GR"/>
        </w:rPr>
        <w:t>Οργανική αύξηση χορηγήσεων κατά €</w:t>
      </w:r>
      <w:r w:rsidR="0030399A" w:rsidRPr="00950E8F">
        <w:rPr>
          <w:color w:val="021142"/>
          <w:lang w:val="el-GR"/>
        </w:rPr>
        <w:t>2</w:t>
      </w:r>
      <w:r w:rsidR="00F9142A">
        <w:rPr>
          <w:color w:val="021142"/>
          <w:lang w:val="el-GR"/>
        </w:rPr>
        <w:t>,</w:t>
      </w:r>
      <w:r w:rsidR="0030399A" w:rsidRPr="00950E8F">
        <w:rPr>
          <w:color w:val="021142"/>
          <w:lang w:val="el-GR"/>
        </w:rPr>
        <w:t>2</w:t>
      </w:r>
      <w:r w:rsidR="003A5421">
        <w:rPr>
          <w:color w:val="021142"/>
          <w:lang w:val="el-GR"/>
        </w:rPr>
        <w:t xml:space="preserve"> </w:t>
      </w:r>
      <w:r>
        <w:rPr>
          <w:color w:val="021142"/>
          <w:lang w:val="el-GR"/>
        </w:rPr>
        <w:t>δισ.</w:t>
      </w:r>
      <w:r w:rsidR="00CB6011">
        <w:rPr>
          <w:color w:val="021142"/>
          <w:lang w:val="el-GR"/>
        </w:rPr>
        <w:t xml:space="preserve"> </w:t>
      </w:r>
      <w:r w:rsidR="00F9142A">
        <w:rPr>
          <w:color w:val="021142"/>
          <w:lang w:val="el-GR"/>
        </w:rPr>
        <w:t>το Α΄</w:t>
      </w:r>
      <w:r w:rsidR="00B417F5">
        <w:rPr>
          <w:color w:val="021142"/>
          <w:lang w:val="el-GR"/>
        </w:rPr>
        <w:t xml:space="preserve"> </w:t>
      </w:r>
      <w:r w:rsidR="003A5421">
        <w:rPr>
          <w:color w:val="021142"/>
          <w:lang w:val="el-GR"/>
        </w:rPr>
        <w:t xml:space="preserve">Εξάμηνο </w:t>
      </w:r>
      <w:r w:rsidR="00F9142A">
        <w:rPr>
          <w:color w:val="021142"/>
          <w:lang w:val="el-GR"/>
        </w:rPr>
        <w:t>2025</w:t>
      </w:r>
    </w:p>
    <w:p w14:paraId="4258301A" w14:textId="7D6C2208" w:rsidR="00B66B55" w:rsidRDefault="00B66B55" w:rsidP="007C3CC6">
      <w:pPr>
        <w:pStyle w:val="ListParagraph"/>
        <w:numPr>
          <w:ilvl w:val="0"/>
          <w:numId w:val="7"/>
        </w:numPr>
        <w:tabs>
          <w:tab w:val="left" w:pos="396"/>
        </w:tabs>
        <w:spacing w:before="103" w:line="480" w:lineRule="auto"/>
        <w:ind w:left="714" w:right="340" w:hanging="357"/>
        <w:rPr>
          <w:color w:val="021142"/>
          <w:lang w:val="el-GR"/>
        </w:rPr>
      </w:pPr>
      <w:r>
        <w:rPr>
          <w:color w:val="021142"/>
          <w:lang w:val="el-GR"/>
        </w:rPr>
        <w:t xml:space="preserve">Αύξηση </w:t>
      </w:r>
      <w:r w:rsidR="007D67E5">
        <w:rPr>
          <w:color w:val="021142"/>
          <w:lang w:val="el-GR"/>
        </w:rPr>
        <w:t xml:space="preserve">αμοιβαίων </w:t>
      </w:r>
      <w:r>
        <w:rPr>
          <w:color w:val="021142"/>
          <w:lang w:val="el-GR"/>
        </w:rPr>
        <w:t>κεφαλαίων</w:t>
      </w:r>
      <w:r w:rsidR="001D7737">
        <w:rPr>
          <w:color w:val="021142"/>
          <w:lang w:val="el-GR"/>
        </w:rPr>
        <w:t xml:space="preserve"> υπό διαχείριση </w:t>
      </w:r>
      <w:r w:rsidR="009668F2">
        <w:rPr>
          <w:color w:val="021142"/>
          <w:lang w:val="el-GR"/>
        </w:rPr>
        <w:t>κατά €</w:t>
      </w:r>
      <w:r w:rsidR="007C41E4" w:rsidRPr="007C41E4">
        <w:rPr>
          <w:color w:val="021142"/>
          <w:lang w:val="el-GR"/>
        </w:rPr>
        <w:t>0,9</w:t>
      </w:r>
      <w:r w:rsidR="009668F2">
        <w:rPr>
          <w:color w:val="021142"/>
          <w:lang w:val="el-GR"/>
        </w:rPr>
        <w:t xml:space="preserve">δισ. </w:t>
      </w:r>
      <w:r w:rsidR="005E5A01">
        <w:rPr>
          <w:color w:val="021142"/>
          <w:lang w:val="el-GR"/>
        </w:rPr>
        <w:t>το Α΄</w:t>
      </w:r>
      <w:r w:rsidR="003A5421" w:rsidRPr="003A5421">
        <w:rPr>
          <w:color w:val="021142"/>
          <w:lang w:val="el-GR"/>
        </w:rPr>
        <w:t xml:space="preserve"> </w:t>
      </w:r>
      <w:r w:rsidR="003A5421">
        <w:rPr>
          <w:color w:val="021142"/>
          <w:lang w:val="el-GR"/>
        </w:rPr>
        <w:t>Εξάμηνο</w:t>
      </w:r>
      <w:r w:rsidR="003A5421" w:rsidDel="003A5421">
        <w:rPr>
          <w:color w:val="021142"/>
          <w:lang w:val="el-GR"/>
        </w:rPr>
        <w:t xml:space="preserve"> </w:t>
      </w:r>
      <w:r w:rsidR="005E5A01">
        <w:rPr>
          <w:color w:val="021142"/>
          <w:lang w:val="el-GR"/>
        </w:rPr>
        <w:t>2025</w:t>
      </w:r>
    </w:p>
    <w:p w14:paraId="4C3A270B" w14:textId="500D861E" w:rsidR="00197117" w:rsidRDefault="00197117" w:rsidP="007C3CC6">
      <w:pPr>
        <w:pStyle w:val="ListParagraph"/>
        <w:numPr>
          <w:ilvl w:val="0"/>
          <w:numId w:val="7"/>
        </w:numPr>
        <w:tabs>
          <w:tab w:val="left" w:pos="396"/>
        </w:tabs>
        <w:spacing w:before="103" w:line="480" w:lineRule="auto"/>
        <w:ind w:left="714" w:right="340" w:hanging="357"/>
        <w:rPr>
          <w:color w:val="021142"/>
          <w:lang w:val="el-GR"/>
        </w:rPr>
      </w:pPr>
      <w:r w:rsidRPr="00F861DE">
        <w:rPr>
          <w:color w:val="021142"/>
          <w:lang w:val="el-GR"/>
        </w:rPr>
        <w:t>Δείκτης</w:t>
      </w:r>
      <w:r w:rsidRPr="00F861DE">
        <w:rPr>
          <w:color w:val="021142"/>
          <w:spacing w:val="-8"/>
          <w:lang w:val="el-GR"/>
        </w:rPr>
        <w:t xml:space="preserve"> </w:t>
      </w:r>
      <w:r w:rsidR="00497AD5" w:rsidRPr="00497AD5">
        <w:rPr>
          <w:color w:val="021142"/>
          <w:lang w:val="el-GR"/>
        </w:rPr>
        <w:t>συνολικής κεφαλαιακής επάρκειας</w:t>
      </w:r>
      <w:r w:rsidR="00164566">
        <w:rPr>
          <w:color w:val="021142"/>
          <w:lang w:val="el-GR"/>
        </w:rPr>
        <w:t xml:space="preserve"> (</w:t>
      </w:r>
      <w:r w:rsidR="00164566">
        <w:rPr>
          <w:color w:val="021142"/>
        </w:rPr>
        <w:t>CAD</w:t>
      </w:r>
      <w:r w:rsidR="00164566" w:rsidRPr="008831AF">
        <w:rPr>
          <w:color w:val="021142"/>
          <w:lang w:val="el-GR"/>
        </w:rPr>
        <w:t>)</w:t>
      </w:r>
      <w:r w:rsidR="00497AD5" w:rsidRPr="00497AD5">
        <w:rPr>
          <w:color w:val="021142"/>
          <w:lang w:val="el-GR"/>
        </w:rPr>
        <w:t xml:space="preserve"> </w:t>
      </w:r>
      <w:r w:rsidR="00F408F4" w:rsidRPr="00950E8F">
        <w:rPr>
          <w:color w:val="021142"/>
          <w:lang w:val="el-GR"/>
        </w:rPr>
        <w:t>19,8</w:t>
      </w:r>
      <w:r w:rsidR="00497AD5" w:rsidRPr="00497AD5">
        <w:rPr>
          <w:color w:val="021142"/>
          <w:lang w:val="el-GR"/>
        </w:rPr>
        <w:t>%</w:t>
      </w:r>
      <w:r w:rsidR="0038746B" w:rsidRPr="0038746B">
        <w:rPr>
          <w:color w:val="021142"/>
          <w:vertAlign w:val="superscript"/>
          <w:lang w:val="el-GR"/>
        </w:rPr>
        <w:t>1</w:t>
      </w:r>
      <w:r w:rsidR="00497AD5" w:rsidRPr="00497AD5">
        <w:rPr>
          <w:color w:val="021142"/>
          <w:lang w:val="el-GR"/>
        </w:rPr>
        <w:t xml:space="preserve">, </w:t>
      </w:r>
      <w:r w:rsidRPr="00B76784">
        <w:rPr>
          <w:color w:val="021142"/>
          <w:lang w:val="el-GR"/>
        </w:rPr>
        <w:t>Δείκτης</w:t>
      </w:r>
      <w:r w:rsidR="00365A96" w:rsidRPr="00365A96">
        <w:rPr>
          <w:color w:val="021142"/>
          <w:lang w:val="el-GR"/>
        </w:rPr>
        <w:t xml:space="preserve"> </w:t>
      </w:r>
      <w:r>
        <w:rPr>
          <w:color w:val="021142"/>
        </w:rPr>
        <w:t>CET</w:t>
      </w:r>
      <w:r w:rsidRPr="00B76784">
        <w:rPr>
          <w:color w:val="021142"/>
          <w:lang w:val="el-GR"/>
        </w:rPr>
        <w:t xml:space="preserve">1 </w:t>
      </w:r>
      <w:r w:rsidR="00F408F4" w:rsidRPr="00950E8F">
        <w:rPr>
          <w:color w:val="021142"/>
          <w:lang w:val="el-GR"/>
        </w:rPr>
        <w:t>15,5</w:t>
      </w:r>
      <w:r w:rsidRPr="00B76784">
        <w:rPr>
          <w:color w:val="021142"/>
          <w:lang w:val="el-GR"/>
        </w:rPr>
        <w:t>%</w:t>
      </w:r>
      <w:r w:rsidR="00156C86" w:rsidRPr="00C87647">
        <w:rPr>
          <w:color w:val="021142"/>
          <w:vertAlign w:val="superscript"/>
          <w:lang w:val="el-GR"/>
        </w:rPr>
        <w:t>1</w:t>
      </w:r>
    </w:p>
    <w:p w14:paraId="6DF8A36A" w14:textId="309DDE44" w:rsidR="00F861DE" w:rsidRPr="005043B2" w:rsidRDefault="00B76784" w:rsidP="007C3CC6">
      <w:pPr>
        <w:pStyle w:val="ListParagraph"/>
        <w:numPr>
          <w:ilvl w:val="0"/>
          <w:numId w:val="7"/>
        </w:numPr>
        <w:tabs>
          <w:tab w:val="left" w:pos="396"/>
        </w:tabs>
        <w:spacing w:before="103" w:line="480" w:lineRule="auto"/>
        <w:ind w:left="714" w:right="340" w:hanging="357"/>
        <w:rPr>
          <w:color w:val="021142"/>
          <w:lang w:val="el-GR"/>
        </w:rPr>
      </w:pPr>
      <w:r>
        <w:rPr>
          <w:color w:val="021142"/>
          <w:lang w:val="el-GR"/>
        </w:rPr>
        <w:t xml:space="preserve">Δείκτης </w:t>
      </w:r>
      <w:r>
        <w:rPr>
          <w:color w:val="021142"/>
        </w:rPr>
        <w:t>NPE</w:t>
      </w:r>
      <w:r w:rsidRPr="00B76784">
        <w:rPr>
          <w:color w:val="021142"/>
          <w:lang w:val="el-GR"/>
        </w:rPr>
        <w:t xml:space="preserve"> </w:t>
      </w:r>
      <w:r w:rsidR="0030399A" w:rsidRPr="00950E8F">
        <w:rPr>
          <w:color w:val="021142"/>
          <w:lang w:val="el-GR"/>
        </w:rPr>
        <w:t>2</w:t>
      </w:r>
      <w:r w:rsidR="00EC407A">
        <w:rPr>
          <w:color w:val="021142"/>
          <w:lang w:val="el-GR"/>
        </w:rPr>
        <w:t>,</w:t>
      </w:r>
      <w:r w:rsidR="0030399A" w:rsidRPr="00950E8F">
        <w:rPr>
          <w:color w:val="021142"/>
          <w:lang w:val="el-GR"/>
        </w:rPr>
        <w:t>8</w:t>
      </w:r>
      <w:r>
        <w:rPr>
          <w:color w:val="021142"/>
          <w:lang w:val="el-GR"/>
        </w:rPr>
        <w:t>%</w:t>
      </w:r>
      <w:r w:rsidR="0038746B" w:rsidRPr="00361295">
        <w:rPr>
          <w:color w:val="021142"/>
          <w:vertAlign w:val="superscript"/>
          <w:lang w:val="el-GR"/>
        </w:rPr>
        <w:t>2</w:t>
      </w:r>
      <w:r w:rsidR="00DC727A">
        <w:rPr>
          <w:color w:val="021142"/>
          <w:position w:val="7"/>
          <w:sz w:val="13"/>
          <w:lang w:val="el-GR"/>
        </w:rPr>
        <w:t xml:space="preserve"> </w:t>
      </w:r>
      <w:r>
        <w:rPr>
          <w:color w:val="021142"/>
          <w:lang w:val="el-GR"/>
        </w:rPr>
        <w:t xml:space="preserve">- </w:t>
      </w:r>
      <w:r w:rsidR="005511E3" w:rsidRPr="00F861DE">
        <w:rPr>
          <w:color w:val="021142"/>
          <w:lang w:val="el-GR"/>
        </w:rPr>
        <w:t>Δείκτης</w:t>
      </w:r>
      <w:r w:rsidR="005511E3" w:rsidRPr="00F861DE">
        <w:rPr>
          <w:color w:val="021142"/>
          <w:spacing w:val="-11"/>
          <w:lang w:val="el-GR"/>
        </w:rPr>
        <w:t xml:space="preserve"> </w:t>
      </w:r>
      <w:r w:rsidR="005511E3" w:rsidRPr="00F861DE">
        <w:rPr>
          <w:color w:val="021142"/>
          <w:lang w:val="el-GR"/>
        </w:rPr>
        <w:t>προβλέψεων</w:t>
      </w:r>
      <w:r w:rsidR="005511E3" w:rsidRPr="00F861DE">
        <w:rPr>
          <w:color w:val="021142"/>
          <w:spacing w:val="-10"/>
          <w:lang w:val="el-GR"/>
        </w:rPr>
        <w:t xml:space="preserve"> </w:t>
      </w:r>
      <w:r w:rsidR="005511E3" w:rsidRPr="00F861DE">
        <w:rPr>
          <w:color w:val="021142"/>
          <w:lang w:val="el-GR"/>
        </w:rPr>
        <w:t>προς</w:t>
      </w:r>
      <w:r w:rsidR="005511E3" w:rsidRPr="00F861DE">
        <w:rPr>
          <w:color w:val="021142"/>
          <w:spacing w:val="-11"/>
          <w:lang w:val="el-GR"/>
        </w:rPr>
        <w:t xml:space="preserve"> </w:t>
      </w:r>
      <w:r w:rsidR="00DB29F5">
        <w:rPr>
          <w:color w:val="021142"/>
        </w:rPr>
        <w:t>NPE</w:t>
      </w:r>
      <w:r w:rsidR="003A5421">
        <w:rPr>
          <w:color w:val="021142"/>
          <w:lang w:val="en-GB"/>
        </w:rPr>
        <w:t>s</w:t>
      </w:r>
      <w:r w:rsidR="005511E3" w:rsidRPr="00F861DE">
        <w:rPr>
          <w:color w:val="021142"/>
          <w:spacing w:val="-11"/>
          <w:lang w:val="el-GR"/>
        </w:rPr>
        <w:t xml:space="preserve"> </w:t>
      </w:r>
      <w:r w:rsidR="0030399A" w:rsidRPr="00950E8F">
        <w:rPr>
          <w:color w:val="021142"/>
          <w:spacing w:val="-11"/>
          <w:lang w:val="el-GR"/>
        </w:rPr>
        <w:t>92,8</w:t>
      </w:r>
      <w:r w:rsidR="005511E3" w:rsidRPr="00F861DE">
        <w:rPr>
          <w:color w:val="021142"/>
          <w:lang w:val="el-GR"/>
        </w:rPr>
        <w:t>%</w:t>
      </w:r>
      <w:r w:rsidR="00361295" w:rsidRPr="00361295">
        <w:rPr>
          <w:color w:val="021142"/>
          <w:vertAlign w:val="superscript"/>
          <w:lang w:val="el-GR"/>
        </w:rPr>
        <w:t>3</w:t>
      </w:r>
    </w:p>
    <w:p w14:paraId="76A21237" w14:textId="77777777" w:rsidR="006C6641" w:rsidRDefault="006C6641" w:rsidP="008357AD">
      <w:pPr>
        <w:pStyle w:val="BodyText"/>
        <w:spacing w:before="7"/>
        <w:ind w:right="340"/>
        <w:jc w:val="both"/>
        <w:rPr>
          <w:lang w:val="el-GR"/>
        </w:rPr>
      </w:pPr>
    </w:p>
    <w:p w14:paraId="150575DA" w14:textId="77777777" w:rsidR="00E8726B" w:rsidRDefault="00E8726B" w:rsidP="008357AD">
      <w:pPr>
        <w:pStyle w:val="BodyText"/>
        <w:spacing w:before="7"/>
        <w:ind w:right="340"/>
        <w:jc w:val="both"/>
        <w:rPr>
          <w:lang w:val="el-GR"/>
        </w:rPr>
      </w:pPr>
    </w:p>
    <w:p w14:paraId="0D86EA17" w14:textId="77777777" w:rsidR="001E4853" w:rsidRDefault="001E4853" w:rsidP="008357AD">
      <w:pPr>
        <w:pStyle w:val="BodyText"/>
        <w:spacing w:before="7"/>
        <w:ind w:right="340"/>
        <w:jc w:val="both"/>
        <w:rPr>
          <w:lang w:val="el-GR"/>
        </w:rPr>
      </w:pPr>
    </w:p>
    <w:p w14:paraId="082B564A" w14:textId="77777777" w:rsidR="00D56F06" w:rsidRDefault="00D56F06" w:rsidP="008357AD">
      <w:pPr>
        <w:pStyle w:val="BodyText"/>
        <w:spacing w:before="7"/>
        <w:ind w:right="340"/>
        <w:jc w:val="both"/>
        <w:rPr>
          <w:lang w:val="el-GR"/>
        </w:rPr>
      </w:pPr>
    </w:p>
    <w:p w14:paraId="0ECF111F" w14:textId="77777777" w:rsidR="00D56F06" w:rsidRDefault="00D56F06" w:rsidP="008357AD">
      <w:pPr>
        <w:pStyle w:val="BodyText"/>
        <w:spacing w:before="7"/>
        <w:ind w:right="340"/>
        <w:jc w:val="both"/>
        <w:rPr>
          <w:lang w:val="el-GR"/>
        </w:rPr>
      </w:pPr>
    </w:p>
    <w:p w14:paraId="32FADD16" w14:textId="77777777" w:rsidR="00D56F06" w:rsidRDefault="00D56F06" w:rsidP="008357AD">
      <w:pPr>
        <w:pStyle w:val="BodyText"/>
        <w:spacing w:before="7"/>
        <w:ind w:right="340"/>
        <w:jc w:val="both"/>
        <w:rPr>
          <w:lang w:val="el-GR"/>
        </w:rPr>
      </w:pPr>
    </w:p>
    <w:p w14:paraId="70618452" w14:textId="77777777" w:rsidR="00D56F06" w:rsidRDefault="00D56F06" w:rsidP="008357AD">
      <w:pPr>
        <w:pStyle w:val="BodyText"/>
        <w:spacing w:before="7"/>
        <w:ind w:right="340"/>
        <w:jc w:val="both"/>
        <w:rPr>
          <w:lang w:val="el-GR"/>
        </w:rPr>
      </w:pPr>
    </w:p>
    <w:p w14:paraId="6AC17081" w14:textId="77777777" w:rsidR="00D56F06" w:rsidRDefault="00D56F06" w:rsidP="008357AD">
      <w:pPr>
        <w:pStyle w:val="BodyText"/>
        <w:spacing w:before="7"/>
        <w:ind w:right="340"/>
        <w:jc w:val="both"/>
        <w:rPr>
          <w:lang w:val="el-GR"/>
        </w:rPr>
      </w:pPr>
    </w:p>
    <w:p w14:paraId="71BB68D7" w14:textId="77777777" w:rsidR="00D56F06" w:rsidRDefault="00D56F06" w:rsidP="008357AD">
      <w:pPr>
        <w:pStyle w:val="BodyText"/>
        <w:spacing w:before="7"/>
        <w:ind w:right="340"/>
        <w:jc w:val="both"/>
        <w:rPr>
          <w:lang w:val="el-GR"/>
        </w:rPr>
      </w:pPr>
    </w:p>
    <w:p w14:paraId="6E58A42C" w14:textId="77777777" w:rsidR="00D56F06" w:rsidRDefault="00D56F06" w:rsidP="008357AD">
      <w:pPr>
        <w:pStyle w:val="BodyText"/>
        <w:spacing w:before="7"/>
        <w:ind w:right="340"/>
        <w:jc w:val="both"/>
        <w:rPr>
          <w:lang w:val="el-GR"/>
        </w:rPr>
      </w:pPr>
    </w:p>
    <w:p w14:paraId="4AEA99B3" w14:textId="77777777" w:rsidR="00D56F06" w:rsidRDefault="00D56F06" w:rsidP="008357AD">
      <w:pPr>
        <w:pStyle w:val="BodyText"/>
        <w:spacing w:before="7"/>
        <w:ind w:right="340"/>
        <w:jc w:val="both"/>
        <w:rPr>
          <w:lang w:val="el-GR"/>
        </w:rPr>
      </w:pPr>
    </w:p>
    <w:p w14:paraId="06BCE50B" w14:textId="77777777" w:rsidR="00D56F06" w:rsidRDefault="00D56F06" w:rsidP="008357AD">
      <w:pPr>
        <w:pStyle w:val="BodyText"/>
        <w:spacing w:before="7"/>
        <w:ind w:right="340"/>
        <w:jc w:val="both"/>
        <w:rPr>
          <w:lang w:val="el-GR"/>
        </w:rPr>
      </w:pPr>
    </w:p>
    <w:p w14:paraId="1A6B4242" w14:textId="77777777" w:rsidR="006F607C" w:rsidRPr="00913FF3" w:rsidRDefault="006F607C" w:rsidP="00361295">
      <w:pPr>
        <w:pStyle w:val="BodyText"/>
        <w:spacing w:before="7"/>
        <w:ind w:right="340"/>
        <w:jc w:val="both"/>
        <w:rPr>
          <w:lang w:val="el-GR"/>
        </w:rPr>
      </w:pPr>
    </w:p>
    <w:p w14:paraId="568A5A0A" w14:textId="77777777" w:rsidR="006F607C" w:rsidRPr="00913FF3" w:rsidRDefault="006F607C" w:rsidP="00361295">
      <w:pPr>
        <w:pStyle w:val="BodyText"/>
        <w:spacing w:before="7"/>
        <w:ind w:right="340"/>
        <w:jc w:val="both"/>
        <w:rPr>
          <w:lang w:val="el-GR"/>
        </w:rPr>
      </w:pPr>
    </w:p>
    <w:p w14:paraId="6F4C180F" w14:textId="77777777" w:rsidR="00F9142A" w:rsidRPr="00435D86" w:rsidRDefault="00F9142A" w:rsidP="00361295">
      <w:pPr>
        <w:pStyle w:val="BodyText"/>
        <w:spacing w:before="7"/>
        <w:ind w:right="340"/>
        <w:jc w:val="both"/>
        <w:rPr>
          <w:lang w:val="el-GR"/>
        </w:rPr>
      </w:pPr>
    </w:p>
    <w:p w14:paraId="15F3FEB4" w14:textId="77777777" w:rsidR="00435D86" w:rsidRPr="00C6706F" w:rsidRDefault="00435D86" w:rsidP="00361295">
      <w:pPr>
        <w:pStyle w:val="BodyText"/>
        <w:spacing w:before="7"/>
        <w:ind w:right="340"/>
        <w:jc w:val="both"/>
        <w:rPr>
          <w:lang w:val="el-GR"/>
        </w:rPr>
      </w:pPr>
    </w:p>
    <w:p w14:paraId="3F2F09B0" w14:textId="77777777" w:rsidR="00435D86" w:rsidRPr="00C6706F" w:rsidRDefault="00435D86" w:rsidP="00361295">
      <w:pPr>
        <w:pStyle w:val="BodyText"/>
        <w:spacing w:before="7"/>
        <w:ind w:right="340"/>
        <w:jc w:val="both"/>
        <w:rPr>
          <w:lang w:val="el-GR"/>
        </w:rPr>
      </w:pPr>
    </w:p>
    <w:p w14:paraId="588A3D6B" w14:textId="77777777" w:rsidR="00435D86" w:rsidRPr="00C6706F" w:rsidRDefault="00435D86" w:rsidP="00361295">
      <w:pPr>
        <w:pStyle w:val="BodyText"/>
        <w:spacing w:before="7"/>
        <w:ind w:right="340"/>
        <w:jc w:val="both"/>
        <w:rPr>
          <w:lang w:val="el-GR"/>
        </w:rPr>
      </w:pPr>
    </w:p>
    <w:p w14:paraId="58099127" w14:textId="77777777" w:rsidR="00435D86" w:rsidRPr="00C6706F" w:rsidRDefault="00435D86" w:rsidP="00361295">
      <w:pPr>
        <w:pStyle w:val="BodyText"/>
        <w:spacing w:before="7"/>
        <w:ind w:right="340"/>
        <w:jc w:val="both"/>
        <w:rPr>
          <w:lang w:val="el-GR"/>
        </w:rPr>
      </w:pPr>
    </w:p>
    <w:p w14:paraId="1A03D12A" w14:textId="77777777" w:rsidR="00435D86" w:rsidRPr="00C6706F" w:rsidRDefault="00435D86" w:rsidP="00361295">
      <w:pPr>
        <w:pStyle w:val="BodyText"/>
        <w:spacing w:before="7"/>
        <w:ind w:right="340"/>
        <w:jc w:val="both"/>
        <w:rPr>
          <w:lang w:val="el-GR"/>
        </w:rPr>
      </w:pPr>
    </w:p>
    <w:p w14:paraId="6F999945" w14:textId="77777777" w:rsidR="00435D86" w:rsidRPr="00C6706F" w:rsidRDefault="00435D86" w:rsidP="00361295">
      <w:pPr>
        <w:pStyle w:val="BodyText"/>
        <w:spacing w:before="7"/>
        <w:ind w:right="340"/>
        <w:jc w:val="both"/>
        <w:rPr>
          <w:lang w:val="el-GR"/>
        </w:rPr>
      </w:pPr>
    </w:p>
    <w:p w14:paraId="2B49F5CC" w14:textId="77777777" w:rsidR="00F9142A" w:rsidRPr="00E7027D" w:rsidRDefault="00F9142A" w:rsidP="00361295">
      <w:pPr>
        <w:pStyle w:val="BodyText"/>
        <w:spacing w:before="7"/>
        <w:ind w:right="340"/>
        <w:jc w:val="both"/>
        <w:rPr>
          <w:lang w:val="el-GR"/>
        </w:rPr>
      </w:pPr>
    </w:p>
    <w:p w14:paraId="4BA08BCF" w14:textId="77777777" w:rsidR="00030208" w:rsidRPr="00E7027D" w:rsidRDefault="00030208" w:rsidP="00361295">
      <w:pPr>
        <w:pStyle w:val="BodyText"/>
        <w:spacing w:before="7"/>
        <w:ind w:right="340"/>
        <w:jc w:val="both"/>
        <w:rPr>
          <w:lang w:val="el-GR"/>
        </w:rPr>
      </w:pPr>
    </w:p>
    <w:p w14:paraId="6F2F4CD4" w14:textId="77777777" w:rsidR="00030208" w:rsidRPr="00E7027D" w:rsidRDefault="00030208" w:rsidP="00361295">
      <w:pPr>
        <w:pStyle w:val="BodyText"/>
        <w:spacing w:before="7"/>
        <w:ind w:right="340"/>
        <w:jc w:val="both"/>
        <w:rPr>
          <w:lang w:val="el-GR"/>
        </w:rPr>
      </w:pPr>
    </w:p>
    <w:p w14:paraId="23DFC4CD" w14:textId="77777777" w:rsidR="00C56999" w:rsidRPr="007D67E5" w:rsidRDefault="00C56999" w:rsidP="00361295">
      <w:pPr>
        <w:pStyle w:val="BodyText"/>
        <w:spacing w:before="7"/>
        <w:ind w:right="340"/>
        <w:jc w:val="both"/>
        <w:rPr>
          <w:lang w:val="el-GR"/>
        </w:rPr>
      </w:pPr>
    </w:p>
    <w:p w14:paraId="19D2902D" w14:textId="77777777" w:rsidR="00364C43" w:rsidRPr="0038746B" w:rsidRDefault="00364C43" w:rsidP="00361295">
      <w:pPr>
        <w:pStyle w:val="BodyText"/>
        <w:spacing w:before="7"/>
        <w:ind w:left="260" w:right="340"/>
        <w:rPr>
          <w:color w:val="021142"/>
          <w:sz w:val="14"/>
          <w:szCs w:val="14"/>
          <w:lang w:val="el-GR"/>
        </w:rPr>
      </w:pPr>
    </w:p>
    <w:p w14:paraId="3DF1BCA7" w14:textId="49096648" w:rsidR="00364C43" w:rsidRPr="0038746B" w:rsidRDefault="00F7431A" w:rsidP="00361295">
      <w:pPr>
        <w:ind w:left="260" w:right="340"/>
        <w:jc w:val="both"/>
        <w:rPr>
          <w:color w:val="021142"/>
          <w:sz w:val="14"/>
          <w:szCs w:val="14"/>
          <w:lang w:val="el-GR"/>
        </w:rPr>
      </w:pPr>
      <w:bookmarkStart w:id="0" w:name="_Hlk165290704"/>
      <w:r w:rsidRPr="00E84D07">
        <w:rPr>
          <w:color w:val="021142"/>
          <w:sz w:val="14"/>
          <w:szCs w:val="14"/>
          <w:lang w:val="el-GR"/>
        </w:rPr>
        <w:t xml:space="preserve">1 </w:t>
      </w:r>
      <w:r>
        <w:rPr>
          <w:color w:val="021142"/>
          <w:sz w:val="14"/>
          <w:szCs w:val="14"/>
          <w:lang w:val="en-GB"/>
        </w:rPr>
        <w:t>P</w:t>
      </w:r>
      <w:r w:rsidR="00364C43" w:rsidRPr="0038746B">
        <w:rPr>
          <w:color w:val="021142"/>
          <w:sz w:val="14"/>
          <w:szCs w:val="14"/>
          <w:lang w:val="el-GR"/>
        </w:rPr>
        <w:t>ro-forma για τις συναλλαγές «Solar»</w:t>
      </w:r>
      <w:bookmarkStart w:id="1" w:name="_Hlk181710280"/>
      <w:r w:rsidR="004132CB" w:rsidRPr="00E84D07">
        <w:rPr>
          <w:color w:val="021142"/>
          <w:sz w:val="14"/>
          <w:szCs w:val="14"/>
          <w:lang w:val="el-GR"/>
        </w:rPr>
        <w:t xml:space="preserve">, </w:t>
      </w:r>
      <w:r w:rsidR="00364C43" w:rsidRPr="0038746B">
        <w:rPr>
          <w:color w:val="021142"/>
          <w:sz w:val="14"/>
          <w:szCs w:val="14"/>
          <w:lang w:val="el-GR"/>
        </w:rPr>
        <w:t xml:space="preserve">και </w:t>
      </w:r>
      <w:bookmarkEnd w:id="1"/>
      <w:r w:rsidR="00364C43" w:rsidRPr="0038746B">
        <w:rPr>
          <w:color w:val="021142"/>
          <w:sz w:val="14"/>
          <w:szCs w:val="14"/>
          <w:lang w:val="el-GR"/>
        </w:rPr>
        <w:t xml:space="preserve">της συνθετικής τιτλοποίησης. Λαμβάνοντας υπόψη την πρόβλεψη διανομής κερδών. </w:t>
      </w:r>
      <w:r w:rsidR="0038746B" w:rsidRPr="0082040B">
        <w:rPr>
          <w:color w:val="021142"/>
          <w:sz w:val="14"/>
          <w:szCs w:val="14"/>
          <w:lang w:val="el-GR"/>
        </w:rPr>
        <w:t>Περιλαμβανομένων των κερδών περιόδου που τελούν υπό την έγκριση της Γενικής Συνέλευσης των Μετόχων.</w:t>
      </w:r>
      <w:r w:rsidR="0038746B" w:rsidRPr="00E16D64">
        <w:rPr>
          <w:color w:val="021142"/>
          <w:sz w:val="14"/>
          <w:szCs w:val="14"/>
          <w:lang w:val="el-GR"/>
        </w:rPr>
        <w:t xml:space="preserve"> Η διανομή κερδών υπόκειται σε έγκριση</w:t>
      </w:r>
      <w:r w:rsidR="00647F03" w:rsidRPr="00647F03">
        <w:rPr>
          <w:color w:val="021142"/>
          <w:sz w:val="14"/>
          <w:szCs w:val="14"/>
          <w:lang w:val="el-GR"/>
        </w:rPr>
        <w:t xml:space="preserve"> </w:t>
      </w:r>
      <w:r w:rsidR="00647F03">
        <w:rPr>
          <w:color w:val="021142"/>
          <w:sz w:val="14"/>
          <w:szCs w:val="14"/>
          <w:lang w:val="el-GR"/>
        </w:rPr>
        <w:t>από τις Εποπτικές Αρχές και τη Γενική Συνέλευση των Μετόχων</w:t>
      </w:r>
      <w:r w:rsidR="0038746B" w:rsidRPr="00E16D64">
        <w:rPr>
          <w:color w:val="021142"/>
          <w:sz w:val="14"/>
          <w:szCs w:val="14"/>
          <w:lang w:val="el-GR"/>
        </w:rPr>
        <w:t>.</w:t>
      </w:r>
    </w:p>
    <w:bookmarkEnd w:id="0"/>
    <w:p w14:paraId="7DDF363F" w14:textId="701DB43D" w:rsidR="00364C43" w:rsidRPr="0038746B" w:rsidRDefault="00364C43" w:rsidP="00361295">
      <w:pPr>
        <w:ind w:left="260" w:right="340"/>
        <w:jc w:val="both"/>
        <w:rPr>
          <w:color w:val="021142"/>
          <w:sz w:val="14"/>
          <w:szCs w:val="14"/>
          <w:lang w:val="el-GR"/>
        </w:rPr>
      </w:pPr>
      <w:r w:rsidRPr="00361295">
        <w:rPr>
          <w:color w:val="021142"/>
          <w:sz w:val="14"/>
          <w:szCs w:val="14"/>
          <w:lang w:val="el-GR"/>
        </w:rPr>
        <w:t xml:space="preserve">2 </w:t>
      </w:r>
      <w:r w:rsidRPr="0038746B">
        <w:rPr>
          <w:color w:val="021142"/>
          <w:sz w:val="14"/>
          <w:szCs w:val="14"/>
          <w:lang w:val="el-GR"/>
        </w:rPr>
        <w:t xml:space="preserve">Εξαιρουμένων των </w:t>
      </w:r>
      <w:r w:rsidRPr="00361295">
        <w:rPr>
          <w:color w:val="021142"/>
          <w:sz w:val="14"/>
          <w:szCs w:val="14"/>
          <w:lang w:val="el-GR"/>
        </w:rPr>
        <w:t>NPE</w:t>
      </w:r>
      <w:r w:rsidRPr="0038746B">
        <w:rPr>
          <w:color w:val="021142"/>
          <w:sz w:val="14"/>
          <w:szCs w:val="14"/>
          <w:lang w:val="el-GR"/>
        </w:rPr>
        <w:t xml:space="preserve"> της Ελληνικής Τράπεζας που καλύπτονται από το Πρόγραμμα Προστασίας Περιουσιακών Στοιχείων.</w:t>
      </w:r>
    </w:p>
    <w:p w14:paraId="7730F815" w14:textId="66745E99" w:rsidR="00364C43" w:rsidRPr="0038746B" w:rsidRDefault="00364C43" w:rsidP="00361295">
      <w:pPr>
        <w:ind w:left="260" w:right="340"/>
        <w:jc w:val="both"/>
        <w:rPr>
          <w:color w:val="021142"/>
          <w:sz w:val="14"/>
          <w:szCs w:val="14"/>
          <w:lang w:val="el-GR"/>
        </w:rPr>
      </w:pPr>
      <w:r w:rsidRPr="00361295">
        <w:rPr>
          <w:color w:val="021142"/>
          <w:sz w:val="14"/>
          <w:szCs w:val="14"/>
          <w:lang w:val="el-GR"/>
        </w:rPr>
        <w:t>3</w:t>
      </w:r>
      <w:r w:rsidR="00F7431A" w:rsidRPr="00E84D07">
        <w:rPr>
          <w:color w:val="021142"/>
          <w:sz w:val="14"/>
          <w:szCs w:val="14"/>
          <w:lang w:val="el-GR"/>
        </w:rPr>
        <w:t xml:space="preserve"> </w:t>
      </w:r>
      <w:r w:rsidRPr="0038746B">
        <w:rPr>
          <w:color w:val="021142"/>
          <w:sz w:val="14"/>
          <w:szCs w:val="14"/>
          <w:lang w:val="el-GR"/>
        </w:rPr>
        <w:t xml:space="preserve">Εξαιρουμένων των </w:t>
      </w:r>
      <w:r w:rsidRPr="00361295">
        <w:rPr>
          <w:color w:val="021142"/>
          <w:sz w:val="14"/>
          <w:szCs w:val="14"/>
          <w:lang w:val="el-GR"/>
        </w:rPr>
        <w:t>NPE</w:t>
      </w:r>
      <w:r w:rsidRPr="0038746B">
        <w:rPr>
          <w:color w:val="021142"/>
          <w:sz w:val="14"/>
          <w:szCs w:val="14"/>
          <w:lang w:val="el-GR"/>
        </w:rPr>
        <w:t xml:space="preserve"> της Ελληνικής Τράπεζας που καλύπτονται από το Πρόγραμμα Προστασίας Περιουσιακών Στοιχείων και των αντίστοιχων προβλέψεων.</w:t>
      </w:r>
    </w:p>
    <w:p w14:paraId="634AC1C4" w14:textId="77777777" w:rsidR="00C56999" w:rsidRPr="00E84D07" w:rsidRDefault="00C56999" w:rsidP="00361295">
      <w:pPr>
        <w:ind w:left="260" w:right="340"/>
        <w:jc w:val="both"/>
        <w:rPr>
          <w:color w:val="021142"/>
          <w:sz w:val="14"/>
          <w:szCs w:val="14"/>
          <w:lang w:val="el-GR"/>
        </w:rPr>
      </w:pPr>
    </w:p>
    <w:p w14:paraId="71E9AB3B" w14:textId="0A3DCA3E" w:rsidR="005E227D" w:rsidRDefault="005E227D" w:rsidP="008357AD">
      <w:pPr>
        <w:pStyle w:val="BodyText"/>
        <w:spacing w:before="7"/>
        <w:ind w:right="340"/>
        <w:jc w:val="both"/>
        <w:rPr>
          <w:lang w:val="el-GR"/>
        </w:rPr>
      </w:pPr>
    </w:p>
    <w:p w14:paraId="0433C7E3" w14:textId="25FE1983" w:rsidR="00825986" w:rsidRDefault="00825986" w:rsidP="00950E8F">
      <w:pPr>
        <w:ind w:left="260"/>
        <w:jc w:val="both"/>
        <w:rPr>
          <w:color w:val="021142"/>
          <w:sz w:val="18"/>
          <w:lang w:val="el-GR"/>
        </w:rPr>
      </w:pPr>
      <w:bookmarkStart w:id="2" w:name="_Hlk134624049"/>
      <w:bookmarkStart w:id="3" w:name="_Hlk158896985"/>
    </w:p>
    <w:bookmarkEnd w:id="2"/>
    <w:bookmarkEnd w:id="3"/>
    <w:p w14:paraId="406260A9" w14:textId="22905193" w:rsidR="00EA2E24" w:rsidRPr="00913FF3" w:rsidRDefault="00EA2E24" w:rsidP="00586B48">
      <w:pPr>
        <w:pStyle w:val="BodyText"/>
        <w:rPr>
          <w:sz w:val="20"/>
          <w:lang w:val="el-GR"/>
        </w:rPr>
      </w:pPr>
    </w:p>
    <w:p w14:paraId="3E1175A4" w14:textId="159646FA" w:rsidR="006F607C" w:rsidRPr="00913FF3" w:rsidRDefault="006F607C" w:rsidP="00586B48">
      <w:pPr>
        <w:pStyle w:val="BodyText"/>
        <w:rPr>
          <w:sz w:val="20"/>
          <w:lang w:val="el-GR"/>
        </w:rPr>
      </w:pPr>
      <w:r>
        <w:rPr>
          <w:noProof/>
          <w:lang w:val="el-GR" w:eastAsia="el-GR"/>
        </w:rPr>
        <mc:AlternateContent>
          <mc:Choice Requires="wpg">
            <w:drawing>
              <wp:anchor distT="0" distB="0" distL="114300" distR="114300" simplePos="0" relativeHeight="251661824" behindDoc="0" locked="0" layoutInCell="1" allowOverlap="1" wp14:anchorId="18C31D26" wp14:editId="3C37A0EB">
                <wp:simplePos x="0" y="0"/>
                <wp:positionH relativeFrom="margin">
                  <wp:posOffset>0</wp:posOffset>
                </wp:positionH>
                <wp:positionV relativeFrom="page">
                  <wp:posOffset>9805035</wp:posOffset>
                </wp:positionV>
                <wp:extent cx="7001510" cy="143510"/>
                <wp:effectExtent l="0" t="0" r="8890" b="8890"/>
                <wp:wrapNone/>
                <wp:docPr id="1568816345"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1510" cy="143510"/>
                          <a:chOff x="0" y="14655"/>
                          <a:chExt cx="11906" cy="226"/>
                        </a:xfrm>
                      </wpg:grpSpPr>
                      <wps:wsp>
                        <wps:cNvPr id="1556416664" name="docshape24"/>
                        <wps:cNvSpPr>
                          <a:spLocks/>
                        </wps:cNvSpPr>
                        <wps:spPr bwMode="auto">
                          <a:xfrm>
                            <a:off x="5948" y="14655"/>
                            <a:ext cx="5957" cy="113"/>
                          </a:xfrm>
                          <a:custGeom>
                            <a:avLst/>
                            <a:gdLst>
                              <a:gd name="T0" fmla="+- 0 11906 5949"/>
                              <a:gd name="T1" fmla="*/ T0 w 5957"/>
                              <a:gd name="T2" fmla="+- 0 14655 14655"/>
                              <a:gd name="T3" fmla="*/ 14655 h 113"/>
                              <a:gd name="T4" fmla="+- 0 6024 5949"/>
                              <a:gd name="T5" fmla="*/ T4 w 5957"/>
                              <a:gd name="T6" fmla="+- 0 14655 14655"/>
                              <a:gd name="T7" fmla="*/ 14655 h 113"/>
                              <a:gd name="T8" fmla="+- 0 5949 5949"/>
                              <a:gd name="T9" fmla="*/ T8 w 5957"/>
                              <a:gd name="T10" fmla="+- 0 14768 14655"/>
                              <a:gd name="T11" fmla="*/ 14768 h 113"/>
                              <a:gd name="T12" fmla="+- 0 11906 5949"/>
                              <a:gd name="T13" fmla="*/ T12 w 5957"/>
                              <a:gd name="T14" fmla="+- 0 14768 14655"/>
                              <a:gd name="T15" fmla="*/ 14768 h 113"/>
                              <a:gd name="T16" fmla="+- 0 11906 5949"/>
                              <a:gd name="T17" fmla="*/ T16 w 5957"/>
                              <a:gd name="T18" fmla="+- 0 14655 14655"/>
                              <a:gd name="T19" fmla="*/ 14655 h 113"/>
                            </a:gdLst>
                            <a:ahLst/>
                            <a:cxnLst>
                              <a:cxn ang="0">
                                <a:pos x="T1" y="T3"/>
                              </a:cxn>
                              <a:cxn ang="0">
                                <a:pos x="T5" y="T7"/>
                              </a:cxn>
                              <a:cxn ang="0">
                                <a:pos x="T9" y="T11"/>
                              </a:cxn>
                              <a:cxn ang="0">
                                <a:pos x="T13" y="T15"/>
                              </a:cxn>
                              <a:cxn ang="0">
                                <a:pos x="T17" y="T19"/>
                              </a:cxn>
                            </a:cxnLst>
                            <a:rect l="0" t="0" r="r" b="b"/>
                            <a:pathLst>
                              <a:path w="5957" h="113">
                                <a:moveTo>
                                  <a:pt x="5957" y="0"/>
                                </a:moveTo>
                                <a:lnTo>
                                  <a:pt x="75" y="0"/>
                                </a:lnTo>
                                <a:lnTo>
                                  <a:pt x="0" y="113"/>
                                </a:lnTo>
                                <a:lnTo>
                                  <a:pt x="5957" y="113"/>
                                </a:lnTo>
                                <a:lnTo>
                                  <a:pt x="5957" y="0"/>
                                </a:lnTo>
                                <a:close/>
                              </a:path>
                            </a:pathLst>
                          </a:custGeom>
                          <a:solidFill>
                            <a:srgbClr val="0018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1533589" name="docshape25"/>
                        <wps:cNvSpPr>
                          <a:spLocks/>
                        </wps:cNvSpPr>
                        <wps:spPr bwMode="auto">
                          <a:xfrm>
                            <a:off x="0" y="14767"/>
                            <a:ext cx="5949" cy="113"/>
                          </a:xfrm>
                          <a:custGeom>
                            <a:avLst/>
                            <a:gdLst>
                              <a:gd name="T0" fmla="*/ 5949 w 5949"/>
                              <a:gd name="T1" fmla="+- 0 14768 14768"/>
                              <a:gd name="T2" fmla="*/ 14768 h 113"/>
                              <a:gd name="T3" fmla="*/ 0 w 5949"/>
                              <a:gd name="T4" fmla="+- 0 14768 14768"/>
                              <a:gd name="T5" fmla="*/ 14768 h 113"/>
                              <a:gd name="T6" fmla="*/ 0 w 5949"/>
                              <a:gd name="T7" fmla="+- 0 14881 14768"/>
                              <a:gd name="T8" fmla="*/ 14881 h 113"/>
                              <a:gd name="T9" fmla="*/ 5872 w 5949"/>
                              <a:gd name="T10" fmla="+- 0 14880 14768"/>
                              <a:gd name="T11" fmla="*/ 14880 h 113"/>
                              <a:gd name="T12" fmla="*/ 5949 w 5949"/>
                              <a:gd name="T13" fmla="+- 0 14768 14768"/>
                              <a:gd name="T14" fmla="*/ 14768 h 113"/>
                            </a:gdLst>
                            <a:ahLst/>
                            <a:cxnLst>
                              <a:cxn ang="0">
                                <a:pos x="T0" y="T2"/>
                              </a:cxn>
                              <a:cxn ang="0">
                                <a:pos x="T3" y="T5"/>
                              </a:cxn>
                              <a:cxn ang="0">
                                <a:pos x="T6" y="T8"/>
                              </a:cxn>
                              <a:cxn ang="0">
                                <a:pos x="T9" y="T11"/>
                              </a:cxn>
                              <a:cxn ang="0">
                                <a:pos x="T12" y="T14"/>
                              </a:cxn>
                            </a:cxnLst>
                            <a:rect l="0" t="0" r="r" b="b"/>
                            <a:pathLst>
                              <a:path w="5949" h="113">
                                <a:moveTo>
                                  <a:pt x="5949" y="0"/>
                                </a:moveTo>
                                <a:lnTo>
                                  <a:pt x="0" y="0"/>
                                </a:lnTo>
                                <a:lnTo>
                                  <a:pt x="0" y="113"/>
                                </a:lnTo>
                                <a:lnTo>
                                  <a:pt x="5872" y="112"/>
                                </a:lnTo>
                                <a:lnTo>
                                  <a:pt x="5949" y="0"/>
                                </a:lnTo>
                                <a:close/>
                              </a:path>
                            </a:pathLst>
                          </a:custGeom>
                          <a:solidFill>
                            <a:srgbClr val="ED1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group w14:anchorId="0B36B547" id="docshapegroup23" o:spid="_x0000_s1026" style="position:absolute;margin-left:0;margin-top:772.05pt;width:551.3pt;height:11.3pt;z-index:251661824;mso-position-horizontal-relative:margin;mso-position-vertical-relative:page" coordorigin=",14655" coordsize="1190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">
                <v:shape id="docshape24" o:spid="_x0000_s1027" style="position:absolute;left:5948;top:14655;width:5957;height:113;visibility:visible;mso-wrap-style:square;v-text-anchor:top" coordsize="5957,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" path="m5957,l75,,,113r5957,l5957,xe" fillcolor="#001845" stroked="f">
                  <v:path arrowok="t" o:connecttype="custom" o:connectlocs="5957,14655;75,14655;0,14768;5957,14768;5957,14655" o:connectangles="0,0,0,0,0"/>
                </v:shape>
                <v:shape id="docshape25" o:spid="_x0000_s1028" style="position:absolute;top:14767;width:5949;height:113;visibility:visible;mso-wrap-style:square;v-text-anchor:top" coordsize="594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" path="m5949,l,,,113r5872,-1l5949,xe" fillcolor="#ed1b34" stroked="f">
                  <v:path arrowok="t" o:connecttype="custom" o:connectlocs="5949,14768;0,14768;0,14881;5872,14880;5949,14768" o:connectangles="0,0,0,0,0"/>
                </v:shape>
                <w10:wrap anchorx="margin" anchory="page"/>
              </v:group>
            </w:pict>
          </mc:Fallback>
        </mc:AlternateContent>
      </w:r>
    </w:p>
    <w:p w14:paraId="6D500F31" w14:textId="77777777" w:rsidR="006F607C" w:rsidRPr="00913FF3" w:rsidRDefault="006F607C" w:rsidP="00586B48">
      <w:pPr>
        <w:pStyle w:val="BodyText"/>
        <w:rPr>
          <w:sz w:val="20"/>
          <w:lang w:val="el-GR"/>
        </w:rPr>
      </w:pPr>
    </w:p>
    <w:p w14:paraId="031C062F" w14:textId="6D8FCA28" w:rsidR="00EA2E24" w:rsidRPr="00662765" w:rsidRDefault="00EA2E24" w:rsidP="00586B48">
      <w:pPr>
        <w:pStyle w:val="BodyText"/>
        <w:rPr>
          <w:sz w:val="20"/>
          <w:lang w:val="el-GR"/>
        </w:rPr>
      </w:pPr>
    </w:p>
    <w:p w14:paraId="3842E1BD" w14:textId="77777777" w:rsidR="00EA2E24" w:rsidRPr="00913FF3" w:rsidRDefault="00EA2E24" w:rsidP="00586B48">
      <w:pPr>
        <w:pStyle w:val="BodyText"/>
        <w:rPr>
          <w:sz w:val="20"/>
          <w:lang w:val="el-GR"/>
        </w:rPr>
      </w:pPr>
    </w:p>
    <w:p w14:paraId="540F3E4E" w14:textId="77777777" w:rsidR="006F607C" w:rsidRPr="00913FF3" w:rsidRDefault="006F607C" w:rsidP="00586B48">
      <w:pPr>
        <w:pStyle w:val="BodyText"/>
        <w:rPr>
          <w:sz w:val="20"/>
          <w:lang w:val="el-GR"/>
        </w:rPr>
      </w:pPr>
    </w:p>
    <w:p w14:paraId="7E7DAA37" w14:textId="77777777" w:rsidR="00EA2E24" w:rsidRPr="00662765" w:rsidRDefault="00EA2E24" w:rsidP="00586B48">
      <w:pPr>
        <w:pStyle w:val="BodyText"/>
        <w:rPr>
          <w:sz w:val="20"/>
          <w:lang w:val="el-GR"/>
        </w:rPr>
      </w:pPr>
    </w:p>
    <w:p w14:paraId="0CA58809" w14:textId="1E500FED" w:rsidR="006C6641" w:rsidRDefault="006C6641" w:rsidP="00586B48">
      <w:pPr>
        <w:pStyle w:val="BodyText"/>
        <w:rPr>
          <w:sz w:val="20"/>
          <w:lang w:val="el-GR"/>
        </w:rPr>
      </w:pPr>
    </w:p>
    <w:p w14:paraId="78E3A196" w14:textId="77777777" w:rsidR="00852D18" w:rsidRDefault="001E705B" w:rsidP="00586B48">
      <w:pPr>
        <w:tabs>
          <w:tab w:val="left" w:pos="9436"/>
        </w:tabs>
        <w:spacing w:before="39"/>
        <w:ind w:left="260"/>
        <w:jc w:val="both"/>
        <w:rPr>
          <w:color w:val="021342"/>
          <w:spacing w:val="-1"/>
          <w:sz w:val="16"/>
          <w:lang w:val="el-GR"/>
        </w:rPr>
      </w:pPr>
      <w:r>
        <w:rPr>
          <w:noProof/>
          <w:lang w:val="el-GR" w:eastAsia="el-GR"/>
        </w:rPr>
        <w:drawing>
          <wp:inline distT="0" distB="0" distL="0" distR="0" wp14:anchorId="24F567FD" wp14:editId="75A31199">
            <wp:extent cx="190500" cy="132080"/>
            <wp:effectExtent l="0" t="0" r="0" b="1270"/>
            <wp:docPr id="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2080"/>
                    </a:xfrm>
                    <a:prstGeom prst="rect">
                      <a:avLst/>
                    </a:prstGeom>
                    <a:noFill/>
                    <a:ln>
                      <a:noFill/>
                    </a:ln>
                  </pic:spPr>
                </pic:pic>
              </a:graphicData>
            </a:graphic>
          </wp:inline>
        </w:drawing>
      </w:r>
      <w:r w:rsidR="005511E3" w:rsidRPr="005511E3">
        <w:rPr>
          <w:rFonts w:ascii="Times New Roman" w:hAnsi="Times New Roman"/>
          <w:sz w:val="20"/>
          <w:lang w:val="el-GR"/>
        </w:rPr>
        <w:tab/>
      </w:r>
    </w:p>
    <w:p w14:paraId="4FBB01F6" w14:textId="77777777" w:rsidR="00372FE0" w:rsidRPr="005511E3" w:rsidRDefault="00372FE0" w:rsidP="00586B48">
      <w:pPr>
        <w:tabs>
          <w:tab w:val="left" w:pos="9436"/>
        </w:tabs>
        <w:spacing w:before="39"/>
        <w:ind w:left="260"/>
        <w:jc w:val="both"/>
        <w:rPr>
          <w:sz w:val="16"/>
          <w:lang w:val="el-GR"/>
        </w:rPr>
      </w:pPr>
    </w:p>
    <w:p w14:paraId="766E91E5" w14:textId="57264648" w:rsidR="00C82635" w:rsidRPr="00481733" w:rsidRDefault="005511E3" w:rsidP="00586B48">
      <w:pPr>
        <w:pStyle w:val="BodyText"/>
        <w:spacing w:before="121" w:line="254" w:lineRule="auto"/>
        <w:ind w:left="260" w:right="297"/>
        <w:jc w:val="both"/>
        <w:rPr>
          <w:color w:val="021142"/>
          <w:lang w:val="el-GR"/>
        </w:rPr>
      </w:pPr>
      <w:r w:rsidRPr="00481733">
        <w:rPr>
          <w:color w:val="021142"/>
          <w:lang w:val="el-GR"/>
        </w:rPr>
        <w:t>«</w:t>
      </w:r>
      <w:r w:rsidR="00953E80">
        <w:rPr>
          <w:color w:val="021142"/>
          <w:lang w:val="el-GR"/>
        </w:rPr>
        <w:t>Τ</w:t>
      </w:r>
      <w:r w:rsidR="00C82635" w:rsidRPr="00481733">
        <w:rPr>
          <w:color w:val="021142"/>
          <w:lang w:val="el-GR"/>
        </w:rPr>
        <w:t>ο διεθνές οικονομικό περιβάλλον</w:t>
      </w:r>
      <w:r w:rsidR="00F37507">
        <w:rPr>
          <w:color w:val="021142"/>
          <w:lang w:val="el-GR"/>
        </w:rPr>
        <w:t xml:space="preserve"> </w:t>
      </w:r>
      <w:r w:rsidR="00F37507" w:rsidRPr="00481733">
        <w:rPr>
          <w:color w:val="021142"/>
          <w:lang w:val="el-GR"/>
        </w:rPr>
        <w:t>ομαλοποι</w:t>
      </w:r>
      <w:r w:rsidR="00F37507">
        <w:rPr>
          <w:color w:val="021142"/>
          <w:lang w:val="el-GR"/>
        </w:rPr>
        <w:t>είται</w:t>
      </w:r>
      <w:r w:rsidR="00953E80">
        <w:rPr>
          <w:color w:val="021142"/>
          <w:lang w:val="el-GR"/>
        </w:rPr>
        <w:t xml:space="preserve">, </w:t>
      </w:r>
      <w:r w:rsidR="00156C33">
        <w:rPr>
          <w:color w:val="021142"/>
          <w:lang w:val="el-GR"/>
        </w:rPr>
        <w:t xml:space="preserve">καθώς η </w:t>
      </w:r>
      <w:r w:rsidR="00FB64BE">
        <w:rPr>
          <w:color w:val="021142"/>
          <w:lang w:val="el-GR"/>
        </w:rPr>
        <w:t xml:space="preserve">ολοκλήρωση </w:t>
      </w:r>
      <w:r w:rsidR="00266818">
        <w:rPr>
          <w:color w:val="021142"/>
          <w:lang w:val="el-GR"/>
        </w:rPr>
        <w:t xml:space="preserve">των εμπορικών διαπραγματεύσεων </w:t>
      </w:r>
      <w:r w:rsidR="00AC1BFA">
        <w:rPr>
          <w:color w:val="021142"/>
          <w:lang w:val="el-GR"/>
        </w:rPr>
        <w:t xml:space="preserve">μεταξύ </w:t>
      </w:r>
      <w:r w:rsidR="00EA45D4">
        <w:rPr>
          <w:color w:val="021142"/>
          <w:lang w:val="el-GR"/>
        </w:rPr>
        <w:t xml:space="preserve">ΗΠΑ, </w:t>
      </w:r>
      <w:r w:rsidR="00D251FB">
        <w:rPr>
          <w:color w:val="021142"/>
          <w:lang w:val="el-GR"/>
        </w:rPr>
        <w:t xml:space="preserve">ΕΕ και </w:t>
      </w:r>
      <w:r w:rsidR="00EA45D4">
        <w:rPr>
          <w:color w:val="021142"/>
          <w:lang w:val="el-GR"/>
        </w:rPr>
        <w:t xml:space="preserve">άλλων χωρών, </w:t>
      </w:r>
      <w:r w:rsidR="00156C33">
        <w:rPr>
          <w:color w:val="021142"/>
          <w:lang w:val="el-GR"/>
        </w:rPr>
        <w:t xml:space="preserve">μειώνει </w:t>
      </w:r>
      <w:r w:rsidR="00393623">
        <w:rPr>
          <w:color w:val="021142"/>
          <w:lang w:val="el-GR"/>
        </w:rPr>
        <w:t xml:space="preserve">σημαντικά </w:t>
      </w:r>
      <w:r w:rsidR="00F72A36">
        <w:rPr>
          <w:color w:val="021142"/>
          <w:lang w:val="el-GR"/>
        </w:rPr>
        <w:t xml:space="preserve">την αβεβαιότητα. </w:t>
      </w:r>
      <w:r w:rsidR="00C82635" w:rsidRPr="00481733">
        <w:rPr>
          <w:color w:val="021142"/>
          <w:lang w:val="el-GR"/>
        </w:rPr>
        <w:t>Η ελληνική οικονομία συνεχίζει να υπεραποδίδει έναντι της ευρωζώνης, με ρυθμούς ανάπτυξης που αναμένεται να ξεπεράσουν το 2% σε ετήσια βάση. Η δημοσιονομική σύνεση</w:t>
      </w:r>
      <w:r w:rsidR="00931AB7" w:rsidRPr="00931AB7">
        <w:rPr>
          <w:color w:val="021142"/>
          <w:lang w:val="el-GR"/>
        </w:rPr>
        <w:t xml:space="preserve"> </w:t>
      </w:r>
      <w:r w:rsidR="00931AB7">
        <w:rPr>
          <w:color w:val="021142"/>
          <w:lang w:val="el-GR"/>
        </w:rPr>
        <w:t xml:space="preserve">και </w:t>
      </w:r>
      <w:r w:rsidR="00C82635" w:rsidRPr="00481733">
        <w:rPr>
          <w:color w:val="021142"/>
          <w:lang w:val="el-GR"/>
        </w:rPr>
        <w:t xml:space="preserve">η υπέρβαση των στόχων για τα φορολογικά έσοδα, </w:t>
      </w:r>
      <w:r w:rsidR="0039759B">
        <w:rPr>
          <w:color w:val="021142"/>
          <w:lang w:val="el-GR"/>
        </w:rPr>
        <w:t>συν</w:t>
      </w:r>
      <w:r w:rsidR="00E83A23">
        <w:rPr>
          <w:color w:val="021142"/>
          <w:lang w:val="el-GR"/>
        </w:rPr>
        <w:t>έβα</w:t>
      </w:r>
      <w:r w:rsidR="00B96B78">
        <w:rPr>
          <w:color w:val="021142"/>
          <w:lang w:val="el-GR"/>
        </w:rPr>
        <w:t>λα</w:t>
      </w:r>
      <w:r w:rsidR="00E83A23">
        <w:rPr>
          <w:color w:val="021142"/>
          <w:lang w:val="el-GR"/>
        </w:rPr>
        <w:t xml:space="preserve">ν ώστε η χώρα να </w:t>
      </w:r>
      <w:r w:rsidR="009F2462">
        <w:rPr>
          <w:color w:val="021142"/>
          <w:lang w:val="el-GR"/>
        </w:rPr>
        <w:t>δείξει</w:t>
      </w:r>
      <w:r w:rsidR="00636281">
        <w:rPr>
          <w:color w:val="021142"/>
          <w:lang w:val="el-GR"/>
        </w:rPr>
        <w:t xml:space="preserve"> την μεγαλύτερη αποκλιμάκωση </w:t>
      </w:r>
      <w:r w:rsidR="00531887">
        <w:rPr>
          <w:color w:val="021142"/>
          <w:lang w:val="el-GR"/>
        </w:rPr>
        <w:t>του λόγου χρέους προς ΑΕΠ στη Ε</w:t>
      </w:r>
      <w:r w:rsidR="00F37507">
        <w:rPr>
          <w:color w:val="021142"/>
          <w:lang w:val="el-GR"/>
        </w:rPr>
        <w:t>Ε</w:t>
      </w:r>
      <w:r w:rsidR="001628D0">
        <w:rPr>
          <w:color w:val="021142"/>
          <w:lang w:val="el-GR"/>
        </w:rPr>
        <w:t>. Έτσι, καθώς, τα ελληνικά ομόλογα  διαπραγματεύονται</w:t>
      </w:r>
      <w:r w:rsidR="00BE046F">
        <w:rPr>
          <w:color w:val="021142"/>
          <w:lang w:val="el-GR"/>
        </w:rPr>
        <w:t xml:space="preserve"> ήδη χαμηλότερα από τα </w:t>
      </w:r>
      <w:r w:rsidR="007C3A32">
        <w:rPr>
          <w:color w:val="021142"/>
          <w:lang w:val="el-GR"/>
        </w:rPr>
        <w:t>αντίστοιχα</w:t>
      </w:r>
      <w:r w:rsidR="00BE046F">
        <w:rPr>
          <w:color w:val="021142"/>
          <w:lang w:val="el-GR"/>
        </w:rPr>
        <w:t xml:space="preserve"> ιταλικά και στα </w:t>
      </w:r>
      <w:r w:rsidR="00893773">
        <w:rPr>
          <w:color w:val="021142"/>
          <w:lang w:val="el-GR"/>
        </w:rPr>
        <w:t xml:space="preserve">ίδια </w:t>
      </w:r>
      <w:r w:rsidR="007C3A32">
        <w:rPr>
          <w:color w:val="021142"/>
          <w:lang w:val="el-GR"/>
        </w:rPr>
        <w:t>επίπεδα</w:t>
      </w:r>
      <w:r w:rsidR="00893773">
        <w:rPr>
          <w:color w:val="021142"/>
          <w:lang w:val="el-GR"/>
        </w:rPr>
        <w:t xml:space="preserve"> με τα ισπανικά</w:t>
      </w:r>
      <w:r w:rsidR="00E359F3">
        <w:rPr>
          <w:color w:val="021142"/>
          <w:lang w:val="el-GR"/>
        </w:rPr>
        <w:t xml:space="preserve">, η </w:t>
      </w:r>
      <w:r w:rsidR="00E359F3" w:rsidRPr="00481733">
        <w:rPr>
          <w:color w:val="021142"/>
          <w:lang w:val="el-GR"/>
        </w:rPr>
        <w:t>Eurobank</w:t>
      </w:r>
      <w:r w:rsidR="00E359F3">
        <w:rPr>
          <w:color w:val="021142"/>
          <w:lang w:val="el-GR"/>
        </w:rPr>
        <w:t xml:space="preserve"> εκμεταλλεύτηκε τις ευνοϊκές </w:t>
      </w:r>
      <w:r w:rsidR="00AC5495">
        <w:rPr>
          <w:color w:val="021142"/>
          <w:lang w:val="el-GR"/>
        </w:rPr>
        <w:t xml:space="preserve">συνθήκες εκδίδοντας το πρώτο της </w:t>
      </w:r>
      <w:r w:rsidR="007C3A32">
        <w:rPr>
          <w:color w:val="021142"/>
          <w:lang w:val="el-GR"/>
        </w:rPr>
        <w:t>ομόλογο</w:t>
      </w:r>
      <w:r w:rsidR="00AC5495">
        <w:rPr>
          <w:color w:val="021142"/>
          <w:lang w:val="el-GR"/>
        </w:rPr>
        <w:t xml:space="preserve"> ΑΤ1 </w:t>
      </w:r>
      <w:r w:rsidR="00D13DA2">
        <w:rPr>
          <w:color w:val="021142"/>
          <w:lang w:val="el-GR"/>
        </w:rPr>
        <w:t>ύψους 500 εκ</w:t>
      </w:r>
      <w:r w:rsidR="00876F8A">
        <w:rPr>
          <w:color w:val="021142"/>
          <w:lang w:val="el-GR"/>
        </w:rPr>
        <w:t xml:space="preserve"> ευρώ</w:t>
      </w:r>
      <w:r w:rsidR="00D13DA2">
        <w:rPr>
          <w:color w:val="021142"/>
          <w:lang w:val="el-GR"/>
        </w:rPr>
        <w:t xml:space="preserve">. </w:t>
      </w:r>
      <w:r w:rsidR="0037289F">
        <w:rPr>
          <w:color w:val="021142"/>
          <w:lang w:val="el-GR"/>
        </w:rPr>
        <w:t>Επίσης θ</w:t>
      </w:r>
      <w:r w:rsidR="00F940B7" w:rsidRPr="00481733">
        <w:rPr>
          <w:color w:val="021142"/>
          <w:lang w:val="el-GR"/>
        </w:rPr>
        <w:t xml:space="preserve">ετική </w:t>
      </w:r>
      <w:r w:rsidR="00C82635" w:rsidRPr="00481733">
        <w:rPr>
          <w:color w:val="021142"/>
          <w:lang w:val="el-GR"/>
        </w:rPr>
        <w:t xml:space="preserve">είναι η </w:t>
      </w:r>
      <w:r w:rsidR="004F3CCE">
        <w:rPr>
          <w:color w:val="021142"/>
          <w:lang w:val="el-GR"/>
        </w:rPr>
        <w:t xml:space="preserve">αναπτυξιακή δυναμική </w:t>
      </w:r>
      <w:r w:rsidR="0037289F">
        <w:rPr>
          <w:color w:val="021142"/>
          <w:lang w:val="el-GR"/>
        </w:rPr>
        <w:t xml:space="preserve">και </w:t>
      </w:r>
      <w:r w:rsidR="00C82635" w:rsidRPr="00481733">
        <w:rPr>
          <w:color w:val="021142"/>
          <w:lang w:val="el-GR"/>
        </w:rPr>
        <w:t>στις δυο άλλες κύριες αγορές μας, την Κύπρο και τη Βουλγαρία</w:t>
      </w:r>
      <w:r w:rsidR="00876F8A">
        <w:rPr>
          <w:color w:val="021142"/>
          <w:lang w:val="el-GR"/>
        </w:rPr>
        <w:t xml:space="preserve">, </w:t>
      </w:r>
      <w:r w:rsidR="00C82635" w:rsidRPr="00481733">
        <w:rPr>
          <w:color w:val="021142"/>
          <w:lang w:val="el-GR"/>
        </w:rPr>
        <w:t xml:space="preserve">της οποίας επίκειται η ένταξη στη ζώνη του ευρώ, </w:t>
      </w:r>
      <w:r w:rsidR="00BB7E1D">
        <w:rPr>
          <w:color w:val="021142"/>
          <w:lang w:val="el-GR"/>
        </w:rPr>
        <w:t xml:space="preserve">ενισχύοντας </w:t>
      </w:r>
      <w:r w:rsidR="0063264B">
        <w:rPr>
          <w:color w:val="021142"/>
          <w:lang w:val="el-GR"/>
        </w:rPr>
        <w:t>περαιτέρω</w:t>
      </w:r>
      <w:r w:rsidR="008856ED">
        <w:rPr>
          <w:color w:val="021142"/>
          <w:lang w:val="el-GR"/>
        </w:rPr>
        <w:t xml:space="preserve"> τις θετικές προοπτικές</w:t>
      </w:r>
      <w:r w:rsidR="0063264B">
        <w:rPr>
          <w:color w:val="021142"/>
          <w:lang w:val="el-GR"/>
        </w:rPr>
        <w:t xml:space="preserve"> της</w:t>
      </w:r>
      <w:r w:rsidR="00C82635" w:rsidRPr="00481733">
        <w:rPr>
          <w:color w:val="021142"/>
          <w:lang w:val="el-GR"/>
        </w:rPr>
        <w:t xml:space="preserve">. </w:t>
      </w:r>
    </w:p>
    <w:p w14:paraId="74FC3D26" w14:textId="77777777" w:rsidR="00E7027D" w:rsidRPr="00E7027D" w:rsidRDefault="00E7027D" w:rsidP="00586B48">
      <w:pPr>
        <w:pStyle w:val="BodyText"/>
        <w:spacing w:before="121" w:line="254" w:lineRule="auto"/>
        <w:ind w:left="260" w:right="297"/>
        <w:jc w:val="both"/>
        <w:rPr>
          <w:color w:val="021142"/>
          <w:lang w:val="el-GR"/>
        </w:rPr>
      </w:pPr>
    </w:p>
    <w:p w14:paraId="4BC5362B" w14:textId="1809CCDE" w:rsidR="00C82635" w:rsidRPr="00481733" w:rsidRDefault="00C82635" w:rsidP="00586B48">
      <w:pPr>
        <w:pStyle w:val="BodyText"/>
        <w:spacing w:before="121" w:line="254" w:lineRule="auto"/>
        <w:ind w:left="260" w:right="297"/>
        <w:jc w:val="both"/>
        <w:rPr>
          <w:color w:val="021142"/>
          <w:lang w:val="el-GR"/>
        </w:rPr>
      </w:pPr>
      <w:r w:rsidRPr="00481733">
        <w:rPr>
          <w:color w:val="021142"/>
          <w:lang w:val="el-GR"/>
        </w:rPr>
        <w:t xml:space="preserve">Σε αυτό το πλαίσιο, το επιχειρηματικό μας μοντέλο εξακολουθεί να αποδίδει. Εστιάζουμε στη χρηματοδότηση της πραγματικής οικονομίας με </w:t>
      </w:r>
      <w:r w:rsidR="00876F8A">
        <w:rPr>
          <w:color w:val="021142"/>
          <w:lang w:val="el-GR"/>
        </w:rPr>
        <w:t xml:space="preserve">οργανική </w:t>
      </w:r>
      <w:r w:rsidRPr="00481733">
        <w:rPr>
          <w:color w:val="021142"/>
          <w:lang w:val="el-GR"/>
        </w:rPr>
        <w:t xml:space="preserve">αύξηση χορηγήσεων κατά </w:t>
      </w:r>
      <w:r w:rsidR="00876F8A">
        <w:rPr>
          <w:color w:val="021142"/>
          <w:lang w:val="el-GR"/>
        </w:rPr>
        <w:t>2,2</w:t>
      </w:r>
      <w:r w:rsidRPr="00481733">
        <w:rPr>
          <w:color w:val="021142"/>
          <w:lang w:val="el-GR"/>
        </w:rPr>
        <w:t xml:space="preserve"> δις ευρώ το </w:t>
      </w:r>
      <w:r w:rsidR="00876F8A">
        <w:rPr>
          <w:color w:val="021142"/>
          <w:lang w:val="el-GR"/>
        </w:rPr>
        <w:t xml:space="preserve">πρώτο εξάμηνο </w:t>
      </w:r>
      <w:r w:rsidRPr="00481733">
        <w:rPr>
          <w:color w:val="021142"/>
          <w:lang w:val="el-GR"/>
        </w:rPr>
        <w:t xml:space="preserve">του 2025, και </w:t>
      </w:r>
      <w:r w:rsidR="00911B75">
        <w:rPr>
          <w:color w:val="021142"/>
          <w:lang w:val="el-GR"/>
        </w:rPr>
        <w:t xml:space="preserve">αναθεωρήσαμε ανοδικά </w:t>
      </w:r>
      <w:r w:rsidRPr="00481733">
        <w:rPr>
          <w:color w:val="021142"/>
          <w:lang w:val="el-GR"/>
        </w:rPr>
        <w:t xml:space="preserve">τους στόχους </w:t>
      </w:r>
      <w:r w:rsidR="00A9018E">
        <w:rPr>
          <w:color w:val="021142"/>
          <w:lang w:val="el-GR"/>
        </w:rPr>
        <w:t xml:space="preserve">πιστωτικής επέκτασης </w:t>
      </w:r>
      <w:r w:rsidRPr="00481733">
        <w:rPr>
          <w:color w:val="021142"/>
          <w:lang w:val="el-GR"/>
        </w:rPr>
        <w:t xml:space="preserve">που είχαμε θέσει για φέτος. Η κερδοφορία κινείται </w:t>
      </w:r>
      <w:r w:rsidR="006000D3">
        <w:rPr>
          <w:color w:val="021142"/>
          <w:lang w:val="el-GR"/>
        </w:rPr>
        <w:t>σύμφωνα</w:t>
      </w:r>
      <w:r w:rsidR="00B36E14">
        <w:rPr>
          <w:color w:val="021142"/>
          <w:lang w:val="el-GR"/>
        </w:rPr>
        <w:t xml:space="preserve"> με τις προσδοκίες</w:t>
      </w:r>
      <w:r w:rsidR="006000D3">
        <w:rPr>
          <w:color w:val="021142"/>
          <w:lang w:val="el-GR"/>
        </w:rPr>
        <w:t xml:space="preserve"> μας</w:t>
      </w:r>
      <w:r w:rsidRPr="00481733">
        <w:rPr>
          <w:color w:val="021142"/>
          <w:lang w:val="el-GR"/>
        </w:rPr>
        <w:t xml:space="preserve">, με </w:t>
      </w:r>
      <w:r w:rsidR="00A9018E">
        <w:rPr>
          <w:color w:val="021142"/>
          <w:lang w:val="el-GR"/>
        </w:rPr>
        <w:t xml:space="preserve">περίπου </w:t>
      </w:r>
      <w:r w:rsidRPr="00481733">
        <w:rPr>
          <w:color w:val="021142"/>
          <w:lang w:val="el-GR"/>
        </w:rPr>
        <w:t>τ</w:t>
      </w:r>
      <w:r w:rsidR="009F3CC4">
        <w:rPr>
          <w:color w:val="021142"/>
          <w:lang w:val="el-GR"/>
        </w:rPr>
        <w:t>ο</w:t>
      </w:r>
      <w:r w:rsidRPr="00481733">
        <w:rPr>
          <w:color w:val="021142"/>
          <w:lang w:val="el-GR"/>
        </w:rPr>
        <w:t xml:space="preserve"> </w:t>
      </w:r>
      <w:r w:rsidR="006000D3">
        <w:rPr>
          <w:color w:val="021142"/>
          <w:lang w:val="el-GR"/>
        </w:rPr>
        <w:t>ή</w:t>
      </w:r>
      <w:r w:rsidR="006000D3" w:rsidRPr="00481733">
        <w:rPr>
          <w:color w:val="021142"/>
          <w:lang w:val="el-GR"/>
        </w:rPr>
        <w:t>μισυ</w:t>
      </w:r>
      <w:r w:rsidRPr="00481733">
        <w:rPr>
          <w:color w:val="021142"/>
          <w:lang w:val="el-GR"/>
        </w:rPr>
        <w:t xml:space="preserve"> </w:t>
      </w:r>
      <w:r w:rsidR="00A9018E">
        <w:rPr>
          <w:color w:val="021142"/>
          <w:lang w:val="el-GR"/>
        </w:rPr>
        <w:t>αυτής</w:t>
      </w:r>
      <w:r w:rsidR="009F3CC4">
        <w:rPr>
          <w:color w:val="021142"/>
          <w:lang w:val="el-GR"/>
        </w:rPr>
        <w:t xml:space="preserve"> </w:t>
      </w:r>
      <w:r w:rsidRPr="00481733">
        <w:rPr>
          <w:color w:val="021142"/>
          <w:lang w:val="el-GR"/>
        </w:rPr>
        <w:t xml:space="preserve">να προέρχεται από τις διεθνείς δραστηριότητες του Ομίλου. Ιδιαίτερα σημαντική είναι η συνεισφορά της Κύπρου, όπου με την συγχώνευση Ελληνικής Τράπεζας και Eurobank Cyprus και με την εξαγορά της ασφαλιστικής CNP δημιουργούμε τον κορυφαίο </w:t>
      </w:r>
      <w:r w:rsidR="00911B75">
        <w:rPr>
          <w:color w:val="021142"/>
          <w:lang w:val="el-GR"/>
        </w:rPr>
        <w:t xml:space="preserve">τραπεζοασφαλιστικό </w:t>
      </w:r>
      <w:r w:rsidRPr="00481733">
        <w:rPr>
          <w:color w:val="021142"/>
          <w:lang w:val="el-GR"/>
        </w:rPr>
        <w:t xml:space="preserve">οργανισμό στη χώρα. </w:t>
      </w:r>
    </w:p>
    <w:p w14:paraId="4C811719" w14:textId="77777777" w:rsidR="00E7027D" w:rsidRPr="00073BD3" w:rsidRDefault="00E7027D" w:rsidP="00586B48">
      <w:pPr>
        <w:pStyle w:val="BodyText"/>
        <w:spacing w:before="121" w:line="254" w:lineRule="auto"/>
        <w:ind w:left="260" w:right="297"/>
        <w:jc w:val="both"/>
        <w:rPr>
          <w:color w:val="021142"/>
          <w:lang w:val="el-GR"/>
        </w:rPr>
      </w:pPr>
    </w:p>
    <w:p w14:paraId="1D1CD758" w14:textId="0BC2D564" w:rsidR="00852D18" w:rsidRPr="004546DF" w:rsidRDefault="00C82635" w:rsidP="00586B48">
      <w:pPr>
        <w:pStyle w:val="BodyText"/>
        <w:spacing w:before="121" w:line="254" w:lineRule="auto"/>
        <w:ind w:left="260" w:right="297"/>
        <w:jc w:val="both"/>
        <w:rPr>
          <w:color w:val="021142"/>
          <w:lang w:val="el-GR"/>
        </w:rPr>
      </w:pPr>
      <w:r w:rsidRPr="00481733">
        <w:rPr>
          <w:color w:val="021142"/>
          <w:lang w:val="el-GR"/>
        </w:rPr>
        <w:t>Συνολικά, η Eurobank εφαρμόζει πλήρως το σχεδιασμό της, επιτυγχάνοντας ή υπερβαίνοντας τους στόχους του επιχειρηματικού σχεδίου που έχουμε παρουσιάσει.</w:t>
      </w:r>
      <w:r w:rsidR="004546DF" w:rsidRPr="00481733">
        <w:rPr>
          <w:color w:val="021142"/>
          <w:lang w:val="el-GR"/>
        </w:rPr>
        <w:t>»</w:t>
      </w:r>
    </w:p>
    <w:p w14:paraId="767E1F8F" w14:textId="77777777" w:rsidR="00852D18" w:rsidRPr="005511E3" w:rsidRDefault="00852D18" w:rsidP="00586B48">
      <w:pPr>
        <w:pStyle w:val="BodyText"/>
        <w:spacing w:before="1"/>
        <w:rPr>
          <w:lang w:val="el-GR"/>
        </w:rPr>
      </w:pPr>
    </w:p>
    <w:p w14:paraId="5F8DB3EC" w14:textId="77777777" w:rsidR="00A43EEE" w:rsidRDefault="00A43EEE" w:rsidP="00586B48">
      <w:pPr>
        <w:spacing w:before="1"/>
        <w:ind w:left="6654"/>
        <w:rPr>
          <w:b/>
          <w:color w:val="021142"/>
          <w:lang w:val="el-GR"/>
        </w:rPr>
      </w:pPr>
    </w:p>
    <w:p w14:paraId="5A3C520E" w14:textId="77777777" w:rsidR="00BC63A3" w:rsidRPr="003C6B94" w:rsidRDefault="00BC63A3" w:rsidP="00586B48">
      <w:pPr>
        <w:spacing w:before="1"/>
        <w:ind w:left="6654"/>
        <w:rPr>
          <w:b/>
          <w:color w:val="021142"/>
          <w:lang w:val="el-GR"/>
        </w:rPr>
      </w:pPr>
    </w:p>
    <w:p w14:paraId="5724BD73" w14:textId="77777777" w:rsidR="00852D18" w:rsidRPr="00165625" w:rsidRDefault="005511E3" w:rsidP="00586B48">
      <w:pPr>
        <w:spacing w:before="1"/>
        <w:ind w:left="6654"/>
        <w:rPr>
          <w:b/>
          <w:lang w:val="el-GR"/>
        </w:rPr>
      </w:pPr>
      <w:r w:rsidRPr="00165625">
        <w:rPr>
          <w:b/>
          <w:color w:val="021142"/>
          <w:lang w:val="el-GR"/>
        </w:rPr>
        <w:t>Φωκίων</w:t>
      </w:r>
      <w:r w:rsidRPr="00165625">
        <w:rPr>
          <w:b/>
          <w:color w:val="021142"/>
          <w:spacing w:val="-12"/>
          <w:lang w:val="el-GR"/>
        </w:rPr>
        <w:t xml:space="preserve"> </w:t>
      </w:r>
      <w:r w:rsidRPr="00165625">
        <w:rPr>
          <w:b/>
          <w:color w:val="021142"/>
          <w:lang w:val="el-GR"/>
        </w:rPr>
        <w:t>Καραβίας,</w:t>
      </w:r>
      <w:r w:rsidRPr="00165625">
        <w:rPr>
          <w:b/>
          <w:color w:val="021142"/>
          <w:spacing w:val="-12"/>
          <w:lang w:val="el-GR"/>
        </w:rPr>
        <w:t xml:space="preserve"> </w:t>
      </w:r>
      <w:r w:rsidRPr="00165625">
        <w:rPr>
          <w:b/>
          <w:color w:val="021142"/>
          <w:lang w:val="el-GR"/>
        </w:rPr>
        <w:t>Διευθύνων</w:t>
      </w:r>
      <w:r w:rsidRPr="00165625">
        <w:rPr>
          <w:b/>
          <w:color w:val="021142"/>
          <w:spacing w:val="-11"/>
          <w:lang w:val="el-GR"/>
        </w:rPr>
        <w:t xml:space="preserve"> </w:t>
      </w:r>
      <w:r w:rsidRPr="00165625">
        <w:rPr>
          <w:b/>
          <w:color w:val="021142"/>
          <w:lang w:val="el-GR"/>
        </w:rPr>
        <w:t>Σύμβουλος</w:t>
      </w:r>
    </w:p>
    <w:p w14:paraId="3784C0DD" w14:textId="77777777" w:rsidR="00852D18" w:rsidRDefault="00852D18" w:rsidP="00586B48">
      <w:pPr>
        <w:rPr>
          <w:b/>
          <w:color w:val="021142"/>
          <w:lang w:val="el-GR"/>
        </w:rPr>
      </w:pPr>
    </w:p>
    <w:p w14:paraId="7AE7C130" w14:textId="77777777" w:rsidR="005A7F2C" w:rsidRPr="005A7F2C" w:rsidRDefault="005A7F2C" w:rsidP="00586B48">
      <w:pPr>
        <w:rPr>
          <w:lang w:val="el-GR"/>
        </w:rPr>
      </w:pPr>
    </w:p>
    <w:p w14:paraId="27EB45A6" w14:textId="77777777" w:rsidR="005A7F2C" w:rsidRPr="005A7F2C" w:rsidRDefault="005A7F2C" w:rsidP="00586B48">
      <w:pPr>
        <w:rPr>
          <w:lang w:val="el-GR"/>
        </w:rPr>
      </w:pPr>
    </w:p>
    <w:p w14:paraId="07DBCAD9" w14:textId="77777777" w:rsidR="005A7F2C" w:rsidRPr="005A7F2C" w:rsidRDefault="005A7F2C" w:rsidP="005A7F2C">
      <w:pPr>
        <w:rPr>
          <w:lang w:val="el-GR"/>
        </w:rPr>
      </w:pPr>
    </w:p>
    <w:p w14:paraId="16019CA2" w14:textId="77777777" w:rsidR="005A7F2C" w:rsidRPr="005A7F2C" w:rsidRDefault="005A7F2C" w:rsidP="005A7F2C">
      <w:pPr>
        <w:rPr>
          <w:lang w:val="el-GR"/>
        </w:rPr>
      </w:pPr>
    </w:p>
    <w:p w14:paraId="56E2B65C" w14:textId="77777777" w:rsidR="005A7F2C" w:rsidRPr="005A7F2C" w:rsidRDefault="005A7F2C" w:rsidP="005A7F2C">
      <w:pPr>
        <w:rPr>
          <w:lang w:val="el-GR"/>
        </w:rPr>
      </w:pPr>
    </w:p>
    <w:p w14:paraId="527ADA83" w14:textId="77777777" w:rsidR="005A7F2C" w:rsidRPr="005A7F2C" w:rsidRDefault="005A7F2C" w:rsidP="005A7F2C">
      <w:pPr>
        <w:rPr>
          <w:lang w:val="el-GR"/>
        </w:rPr>
      </w:pPr>
    </w:p>
    <w:p w14:paraId="4E1DAD6E" w14:textId="77777777" w:rsidR="005A7F2C" w:rsidRPr="005A7F2C" w:rsidRDefault="005A7F2C" w:rsidP="005A7F2C">
      <w:pPr>
        <w:rPr>
          <w:lang w:val="el-GR"/>
        </w:rPr>
      </w:pPr>
    </w:p>
    <w:p w14:paraId="639326A2" w14:textId="77777777" w:rsidR="005A7F2C" w:rsidRPr="005A7F2C" w:rsidRDefault="005A7F2C" w:rsidP="005A7F2C">
      <w:pPr>
        <w:rPr>
          <w:lang w:val="el-GR"/>
        </w:rPr>
      </w:pPr>
    </w:p>
    <w:p w14:paraId="1F3DEE3E" w14:textId="77777777" w:rsidR="005A7F2C" w:rsidRPr="005A7F2C" w:rsidRDefault="005A7F2C" w:rsidP="005A7F2C">
      <w:pPr>
        <w:rPr>
          <w:lang w:val="el-GR"/>
        </w:rPr>
      </w:pPr>
    </w:p>
    <w:p w14:paraId="25E98EC0" w14:textId="77777777" w:rsidR="005A7F2C" w:rsidRPr="005A7F2C" w:rsidRDefault="005A7F2C" w:rsidP="005A7F2C">
      <w:pPr>
        <w:rPr>
          <w:lang w:val="el-GR"/>
        </w:rPr>
      </w:pPr>
    </w:p>
    <w:p w14:paraId="0C162782" w14:textId="77777777" w:rsidR="005A7F2C" w:rsidRPr="005A7F2C" w:rsidRDefault="005A7F2C" w:rsidP="005A7F2C">
      <w:pPr>
        <w:rPr>
          <w:lang w:val="el-GR"/>
        </w:rPr>
      </w:pPr>
    </w:p>
    <w:p w14:paraId="48F64BD7" w14:textId="77777777" w:rsidR="005A7F2C" w:rsidRPr="005A7F2C" w:rsidRDefault="005A7F2C" w:rsidP="005A7F2C">
      <w:pPr>
        <w:rPr>
          <w:lang w:val="el-GR"/>
        </w:rPr>
      </w:pPr>
    </w:p>
    <w:p w14:paraId="2BC857FD" w14:textId="77777777" w:rsidR="005A7F2C" w:rsidRPr="005A7F2C" w:rsidRDefault="005A7F2C" w:rsidP="005A7F2C">
      <w:pPr>
        <w:rPr>
          <w:lang w:val="el-GR"/>
        </w:rPr>
      </w:pPr>
    </w:p>
    <w:p w14:paraId="3FE4596E" w14:textId="77777777" w:rsidR="005A7F2C" w:rsidRPr="005A7F2C" w:rsidRDefault="005A7F2C" w:rsidP="005A7F2C">
      <w:pPr>
        <w:rPr>
          <w:lang w:val="el-GR"/>
        </w:rPr>
      </w:pPr>
    </w:p>
    <w:p w14:paraId="3647A69B" w14:textId="77777777" w:rsidR="005A7F2C" w:rsidRPr="005A7F2C" w:rsidRDefault="005A7F2C" w:rsidP="005A7F2C">
      <w:pPr>
        <w:rPr>
          <w:lang w:val="el-GR"/>
        </w:rPr>
      </w:pPr>
    </w:p>
    <w:p w14:paraId="75CF5362" w14:textId="77777777" w:rsidR="005A7F2C" w:rsidRPr="005A7F2C" w:rsidRDefault="005A7F2C" w:rsidP="005A7F2C">
      <w:pPr>
        <w:rPr>
          <w:lang w:val="el-GR"/>
        </w:rPr>
      </w:pPr>
    </w:p>
    <w:p w14:paraId="2DBED6F5" w14:textId="77777777" w:rsidR="005A7F2C" w:rsidRPr="005A7F2C" w:rsidRDefault="005A7F2C" w:rsidP="005A7F2C">
      <w:pPr>
        <w:rPr>
          <w:lang w:val="el-GR"/>
        </w:rPr>
      </w:pPr>
    </w:p>
    <w:p w14:paraId="0D492E54" w14:textId="77777777" w:rsidR="005A7F2C" w:rsidRPr="005A7F2C" w:rsidRDefault="005A7F2C" w:rsidP="005A7F2C">
      <w:pPr>
        <w:rPr>
          <w:lang w:val="el-GR"/>
        </w:rPr>
      </w:pPr>
    </w:p>
    <w:p w14:paraId="4B82FE45" w14:textId="77777777" w:rsidR="005A7F2C" w:rsidRPr="005A7F2C" w:rsidRDefault="005A7F2C" w:rsidP="005A7F2C">
      <w:pPr>
        <w:rPr>
          <w:lang w:val="el-GR"/>
        </w:rPr>
      </w:pPr>
    </w:p>
    <w:p w14:paraId="7B6167EB" w14:textId="77777777" w:rsidR="005A7F2C" w:rsidRPr="005A7F2C" w:rsidRDefault="005A7F2C" w:rsidP="005A7F2C">
      <w:pPr>
        <w:rPr>
          <w:lang w:val="el-GR"/>
        </w:rPr>
      </w:pPr>
    </w:p>
    <w:p w14:paraId="62DC8DD1" w14:textId="77777777" w:rsidR="005A7F2C" w:rsidRPr="005A7F2C" w:rsidRDefault="005A7F2C" w:rsidP="005A7F2C">
      <w:pPr>
        <w:tabs>
          <w:tab w:val="center" w:pos="5515"/>
        </w:tabs>
        <w:rPr>
          <w:lang w:val="el-GR"/>
        </w:rPr>
        <w:sectPr w:rsidR="005A7F2C" w:rsidRPr="005A7F2C" w:rsidSect="00BA4EBC">
          <w:headerReference w:type="default" r:id="rId9"/>
          <w:footerReference w:type="default" r:id="rId10"/>
          <w:pgSz w:w="11910" w:h="16840"/>
          <w:pgMar w:top="1542" w:right="420" w:bottom="278" w:left="459" w:header="709" w:footer="0" w:gutter="0"/>
          <w:cols w:space="720"/>
        </w:sectPr>
      </w:pPr>
      <w:r>
        <w:rPr>
          <w:noProof/>
          <w:lang w:val="el-GR" w:eastAsia="el-GR"/>
        </w:rPr>
        <mc:AlternateContent>
          <mc:Choice Requires="wpg">
            <w:drawing>
              <wp:anchor distT="0" distB="0" distL="114300" distR="114300" simplePos="0" relativeHeight="487622656" behindDoc="0" locked="0" layoutInCell="1" allowOverlap="1" wp14:anchorId="0BE71FBC" wp14:editId="3CB91A3B">
                <wp:simplePos x="0" y="0"/>
                <wp:positionH relativeFrom="margin">
                  <wp:align>left</wp:align>
                </wp:positionH>
                <wp:positionV relativeFrom="page">
                  <wp:posOffset>9779000</wp:posOffset>
                </wp:positionV>
                <wp:extent cx="7001510" cy="143510"/>
                <wp:effectExtent l="0" t="0" r="8890" b="8890"/>
                <wp:wrapNone/>
                <wp:docPr id="2126497121"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1510" cy="143510"/>
                          <a:chOff x="0" y="14655"/>
                          <a:chExt cx="11906" cy="226"/>
                        </a:xfrm>
                      </wpg:grpSpPr>
                      <wps:wsp>
                        <wps:cNvPr id="537726418" name="docshape24"/>
                        <wps:cNvSpPr>
                          <a:spLocks/>
                        </wps:cNvSpPr>
                        <wps:spPr bwMode="auto">
                          <a:xfrm>
                            <a:off x="5948" y="14655"/>
                            <a:ext cx="5957" cy="113"/>
                          </a:xfrm>
                          <a:custGeom>
                            <a:avLst/>
                            <a:gdLst>
                              <a:gd name="T0" fmla="+- 0 11906 5949"/>
                              <a:gd name="T1" fmla="*/ T0 w 5957"/>
                              <a:gd name="T2" fmla="+- 0 14655 14655"/>
                              <a:gd name="T3" fmla="*/ 14655 h 113"/>
                              <a:gd name="T4" fmla="+- 0 6024 5949"/>
                              <a:gd name="T5" fmla="*/ T4 w 5957"/>
                              <a:gd name="T6" fmla="+- 0 14655 14655"/>
                              <a:gd name="T7" fmla="*/ 14655 h 113"/>
                              <a:gd name="T8" fmla="+- 0 5949 5949"/>
                              <a:gd name="T9" fmla="*/ T8 w 5957"/>
                              <a:gd name="T10" fmla="+- 0 14768 14655"/>
                              <a:gd name="T11" fmla="*/ 14768 h 113"/>
                              <a:gd name="T12" fmla="+- 0 11906 5949"/>
                              <a:gd name="T13" fmla="*/ T12 w 5957"/>
                              <a:gd name="T14" fmla="+- 0 14768 14655"/>
                              <a:gd name="T15" fmla="*/ 14768 h 113"/>
                              <a:gd name="T16" fmla="+- 0 11906 5949"/>
                              <a:gd name="T17" fmla="*/ T16 w 5957"/>
                              <a:gd name="T18" fmla="+- 0 14655 14655"/>
                              <a:gd name="T19" fmla="*/ 14655 h 113"/>
                            </a:gdLst>
                            <a:ahLst/>
                            <a:cxnLst>
                              <a:cxn ang="0">
                                <a:pos x="T1" y="T3"/>
                              </a:cxn>
                              <a:cxn ang="0">
                                <a:pos x="T5" y="T7"/>
                              </a:cxn>
                              <a:cxn ang="0">
                                <a:pos x="T9" y="T11"/>
                              </a:cxn>
                              <a:cxn ang="0">
                                <a:pos x="T13" y="T15"/>
                              </a:cxn>
                              <a:cxn ang="0">
                                <a:pos x="T17" y="T19"/>
                              </a:cxn>
                            </a:cxnLst>
                            <a:rect l="0" t="0" r="r" b="b"/>
                            <a:pathLst>
                              <a:path w="5957" h="113">
                                <a:moveTo>
                                  <a:pt x="5957" y="0"/>
                                </a:moveTo>
                                <a:lnTo>
                                  <a:pt x="75" y="0"/>
                                </a:lnTo>
                                <a:lnTo>
                                  <a:pt x="0" y="113"/>
                                </a:lnTo>
                                <a:lnTo>
                                  <a:pt x="5957" y="113"/>
                                </a:lnTo>
                                <a:lnTo>
                                  <a:pt x="5957" y="0"/>
                                </a:lnTo>
                                <a:close/>
                              </a:path>
                            </a:pathLst>
                          </a:custGeom>
                          <a:solidFill>
                            <a:srgbClr val="0018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083122" name="docshape25"/>
                        <wps:cNvSpPr>
                          <a:spLocks/>
                        </wps:cNvSpPr>
                        <wps:spPr bwMode="auto">
                          <a:xfrm>
                            <a:off x="0" y="14767"/>
                            <a:ext cx="5949" cy="113"/>
                          </a:xfrm>
                          <a:custGeom>
                            <a:avLst/>
                            <a:gdLst>
                              <a:gd name="T0" fmla="*/ 5949 w 5949"/>
                              <a:gd name="T1" fmla="+- 0 14768 14768"/>
                              <a:gd name="T2" fmla="*/ 14768 h 113"/>
                              <a:gd name="T3" fmla="*/ 0 w 5949"/>
                              <a:gd name="T4" fmla="+- 0 14768 14768"/>
                              <a:gd name="T5" fmla="*/ 14768 h 113"/>
                              <a:gd name="T6" fmla="*/ 0 w 5949"/>
                              <a:gd name="T7" fmla="+- 0 14881 14768"/>
                              <a:gd name="T8" fmla="*/ 14881 h 113"/>
                              <a:gd name="T9" fmla="*/ 5872 w 5949"/>
                              <a:gd name="T10" fmla="+- 0 14880 14768"/>
                              <a:gd name="T11" fmla="*/ 14880 h 113"/>
                              <a:gd name="T12" fmla="*/ 5949 w 5949"/>
                              <a:gd name="T13" fmla="+- 0 14768 14768"/>
                              <a:gd name="T14" fmla="*/ 14768 h 113"/>
                            </a:gdLst>
                            <a:ahLst/>
                            <a:cxnLst>
                              <a:cxn ang="0">
                                <a:pos x="T0" y="T2"/>
                              </a:cxn>
                              <a:cxn ang="0">
                                <a:pos x="T3" y="T5"/>
                              </a:cxn>
                              <a:cxn ang="0">
                                <a:pos x="T6" y="T8"/>
                              </a:cxn>
                              <a:cxn ang="0">
                                <a:pos x="T9" y="T11"/>
                              </a:cxn>
                              <a:cxn ang="0">
                                <a:pos x="T12" y="T14"/>
                              </a:cxn>
                            </a:cxnLst>
                            <a:rect l="0" t="0" r="r" b="b"/>
                            <a:pathLst>
                              <a:path w="5949" h="113">
                                <a:moveTo>
                                  <a:pt x="5949" y="0"/>
                                </a:moveTo>
                                <a:lnTo>
                                  <a:pt x="0" y="0"/>
                                </a:lnTo>
                                <a:lnTo>
                                  <a:pt x="0" y="113"/>
                                </a:lnTo>
                                <a:lnTo>
                                  <a:pt x="5872" y="112"/>
                                </a:lnTo>
                                <a:lnTo>
                                  <a:pt x="5949" y="0"/>
                                </a:lnTo>
                                <a:close/>
                              </a:path>
                            </a:pathLst>
                          </a:custGeom>
                          <a:solidFill>
                            <a:srgbClr val="ED1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group w14:anchorId="1C6ABA40" id="docshapegroup23" o:spid="_x0000_s1026" style="position:absolute;margin-left:0;margin-top:770pt;width:551.3pt;height:11.3pt;z-index:487622656;mso-position-horizontal:left;mso-position-horizontal-relative:margin;mso-position-vertical-relative:page" coordorigin=",14655" coordsize="1190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">
                <v:shape id="docshape24" o:spid="_x0000_s1027" style="position:absolute;left:5948;top:14655;width:5957;height:113;visibility:visible;mso-wrap-style:square;v-text-anchor:top" coordsize="5957,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" path="m5957,l75,,,113r5957,l5957,xe" fillcolor="#001845" stroked="f">
                  <v:path arrowok="t" o:connecttype="custom" o:connectlocs="5957,14655;75,14655;0,14768;5957,14768;5957,14655" o:connectangles="0,0,0,0,0"/>
                </v:shape>
                <v:shape id="docshape25" o:spid="_x0000_s1028" style="position:absolute;top:14767;width:5949;height:113;visibility:visible;mso-wrap-style:square;v-text-anchor:top" coordsize="594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" path="m5949,l,,,113r5872,-1l5949,xe" fillcolor="#ed1b34" stroked="f">
                  <v:path arrowok="t" o:connecttype="custom" o:connectlocs="5949,14768;0,14768;0,14881;5872,14880;5949,14768" o:connectangles="0,0,0,0,0"/>
                </v:shape>
                <w10:wrap anchorx="margin" anchory="page"/>
              </v:group>
            </w:pict>
          </mc:Fallback>
        </mc:AlternateContent>
      </w:r>
    </w:p>
    <w:p w14:paraId="4239770C" w14:textId="77777777" w:rsidR="00852D18" w:rsidRPr="00913FF3" w:rsidRDefault="00852D18">
      <w:pPr>
        <w:pStyle w:val="BodyText"/>
        <w:spacing w:before="10"/>
        <w:rPr>
          <w:b/>
          <w:sz w:val="11"/>
          <w:lang w:val="el-GR"/>
        </w:rPr>
      </w:pPr>
    </w:p>
    <w:p w14:paraId="1C3CC8BE" w14:textId="77777777" w:rsidR="006F607C" w:rsidRPr="00913FF3" w:rsidRDefault="006F607C">
      <w:pPr>
        <w:pStyle w:val="BodyText"/>
        <w:spacing w:before="10"/>
        <w:rPr>
          <w:b/>
          <w:sz w:val="11"/>
          <w:lang w:val="el-GR"/>
        </w:rPr>
      </w:pPr>
    </w:p>
    <w:p w14:paraId="5CBE18FA" w14:textId="77777777" w:rsidR="006F607C" w:rsidRPr="00913FF3" w:rsidRDefault="006F607C">
      <w:pPr>
        <w:pStyle w:val="BodyText"/>
        <w:spacing w:before="10"/>
        <w:rPr>
          <w:b/>
          <w:sz w:val="11"/>
          <w:lang w:val="el-GR"/>
        </w:rPr>
      </w:pPr>
    </w:p>
    <w:p w14:paraId="05E705D4" w14:textId="77777777" w:rsidR="006F607C" w:rsidRPr="00913FF3" w:rsidRDefault="006F607C">
      <w:pPr>
        <w:pStyle w:val="BodyText"/>
        <w:spacing w:before="10"/>
        <w:rPr>
          <w:b/>
          <w:sz w:val="11"/>
          <w:lang w:val="el-GR"/>
        </w:rPr>
      </w:pPr>
    </w:p>
    <w:p w14:paraId="3198E552" w14:textId="77777777" w:rsidR="00852D18" w:rsidRDefault="00852D18">
      <w:pPr>
        <w:pStyle w:val="BodyText"/>
        <w:spacing w:line="231" w:lineRule="exact"/>
        <w:ind w:left="8131"/>
        <w:rPr>
          <w:sz w:val="20"/>
          <w:lang w:val="el-GR"/>
        </w:rPr>
      </w:pPr>
    </w:p>
    <w:p w14:paraId="7487B4BF" w14:textId="0B812916" w:rsidR="00852D18" w:rsidRPr="005511E3" w:rsidRDefault="005511E3">
      <w:pPr>
        <w:pStyle w:val="Heading1"/>
        <w:tabs>
          <w:tab w:val="left" w:pos="10725"/>
        </w:tabs>
        <w:jc w:val="both"/>
        <w:rPr>
          <w:lang w:val="el-GR"/>
        </w:rPr>
      </w:pPr>
      <w:bookmarkStart w:id="4" w:name="_Hlk157162458"/>
      <w:r w:rsidRPr="004A50A0">
        <w:rPr>
          <w:rFonts w:ascii="Times New Roman" w:hAnsi="Times New Roman"/>
          <w:b w:val="0"/>
          <w:color w:val="021142"/>
          <w:shd w:val="clear" w:color="auto" w:fill="E6E7E8"/>
          <w:lang w:val="el-GR"/>
        </w:rPr>
        <w:t xml:space="preserve">  </w:t>
      </w:r>
      <w:bookmarkStart w:id="5" w:name="_Hlk157162485"/>
      <w:r w:rsidRPr="005511E3">
        <w:rPr>
          <w:color w:val="021142"/>
          <w:shd w:val="clear" w:color="auto" w:fill="E6E7E8"/>
          <w:lang w:val="el-GR"/>
        </w:rPr>
        <w:t>Ανάλυση</w:t>
      </w:r>
      <w:r w:rsidRPr="005511E3">
        <w:rPr>
          <w:color w:val="021142"/>
          <w:spacing w:val="-18"/>
          <w:shd w:val="clear" w:color="auto" w:fill="E6E7E8"/>
          <w:lang w:val="el-GR"/>
        </w:rPr>
        <w:t xml:space="preserve"> </w:t>
      </w:r>
      <w:r w:rsidRPr="005511E3">
        <w:rPr>
          <w:color w:val="021142"/>
          <w:shd w:val="clear" w:color="auto" w:fill="E6E7E8"/>
          <w:lang w:val="el-GR"/>
        </w:rPr>
        <w:t>Αποτελεσμάτων</w:t>
      </w:r>
      <w:r w:rsidR="00364250" w:rsidRPr="00364250">
        <w:rPr>
          <w:color w:val="021142"/>
          <w:shd w:val="clear" w:color="auto" w:fill="E6E7E8"/>
          <w:lang w:val="el-GR"/>
        </w:rPr>
        <w:t xml:space="preserve"> </w:t>
      </w:r>
      <w:r w:rsidR="00D56F06">
        <w:rPr>
          <w:color w:val="021142"/>
          <w:shd w:val="clear" w:color="auto" w:fill="E6E7E8"/>
          <w:lang w:val="el-GR"/>
        </w:rPr>
        <w:t>Α΄</w:t>
      </w:r>
      <w:r w:rsidR="005E2BEC">
        <w:rPr>
          <w:color w:val="021142"/>
          <w:shd w:val="clear" w:color="auto" w:fill="E6E7E8"/>
          <w:lang w:val="el-GR"/>
        </w:rPr>
        <w:t xml:space="preserve"> </w:t>
      </w:r>
      <w:r w:rsidR="007E045C">
        <w:rPr>
          <w:color w:val="021142"/>
          <w:shd w:val="clear" w:color="auto" w:fill="E6E7E8"/>
          <w:lang w:val="el-GR"/>
        </w:rPr>
        <w:t xml:space="preserve">Εξαμήνου </w:t>
      </w:r>
      <w:r w:rsidR="00D56F06">
        <w:rPr>
          <w:color w:val="021142"/>
          <w:shd w:val="clear" w:color="auto" w:fill="E6E7E8"/>
          <w:lang w:val="el-GR"/>
        </w:rPr>
        <w:t>2025</w:t>
      </w:r>
      <w:r w:rsidRPr="005511E3">
        <w:rPr>
          <w:color w:val="021142"/>
          <w:shd w:val="clear" w:color="auto" w:fill="E6E7E8"/>
          <w:lang w:val="el-GR"/>
        </w:rPr>
        <w:tab/>
      </w:r>
      <w:bookmarkEnd w:id="4"/>
      <w:bookmarkEnd w:id="5"/>
    </w:p>
    <w:p w14:paraId="1EE8453A" w14:textId="3D9A5A3F" w:rsidR="00852D18" w:rsidRPr="00CE5C45" w:rsidRDefault="005E2BEC" w:rsidP="0040283B">
      <w:pPr>
        <w:spacing w:before="233"/>
        <w:ind w:left="720" w:right="397"/>
        <w:jc w:val="both"/>
        <w:rPr>
          <w:color w:val="021142"/>
          <w:lang w:val="el-GR"/>
        </w:rPr>
      </w:pPr>
      <w:r w:rsidRPr="0030399A">
        <w:rPr>
          <w:color w:val="021142"/>
          <w:lang w:val="el-GR"/>
        </w:rPr>
        <w:t>Θετικές ήταν οι επιδόσεις της</w:t>
      </w:r>
      <w:r>
        <w:rPr>
          <w:color w:val="021142"/>
          <w:lang w:val="el-GR"/>
        </w:rPr>
        <w:t xml:space="preserve"> </w:t>
      </w:r>
      <w:r>
        <w:rPr>
          <w:color w:val="021142"/>
        </w:rPr>
        <w:t>Eurobank</w:t>
      </w:r>
      <w:r w:rsidRPr="005E2BEC">
        <w:rPr>
          <w:color w:val="021142"/>
          <w:lang w:val="el-GR"/>
        </w:rPr>
        <w:t xml:space="preserve"> </w:t>
      </w:r>
      <w:r>
        <w:rPr>
          <w:color w:val="021142"/>
        </w:rPr>
        <w:t>Holdings</w:t>
      </w:r>
      <w:r w:rsidRPr="005E2BEC">
        <w:rPr>
          <w:color w:val="021142"/>
          <w:lang w:val="el-GR"/>
        </w:rPr>
        <w:t xml:space="preserve"> </w:t>
      </w:r>
      <w:r>
        <w:rPr>
          <w:color w:val="021142"/>
          <w:lang w:val="el-GR"/>
        </w:rPr>
        <w:t>το</w:t>
      </w:r>
      <w:r w:rsidR="00C557AE">
        <w:rPr>
          <w:color w:val="021142"/>
          <w:lang w:val="el-GR"/>
        </w:rPr>
        <w:t xml:space="preserve"> </w:t>
      </w:r>
      <w:r w:rsidR="00D56F06">
        <w:rPr>
          <w:color w:val="021142"/>
          <w:lang w:val="el-GR"/>
        </w:rPr>
        <w:t>Α΄</w:t>
      </w:r>
      <w:r w:rsidR="007E045C">
        <w:rPr>
          <w:color w:val="021142"/>
          <w:lang w:val="el-GR"/>
        </w:rPr>
        <w:t xml:space="preserve"> Εξάμηνο </w:t>
      </w:r>
      <w:r>
        <w:rPr>
          <w:color w:val="021142"/>
          <w:lang w:val="el-GR"/>
        </w:rPr>
        <w:t>2025.</w:t>
      </w:r>
      <w:r w:rsidR="0040283B">
        <w:rPr>
          <w:color w:val="021142"/>
          <w:lang w:val="el-GR"/>
        </w:rPr>
        <w:t xml:space="preserve"> </w:t>
      </w:r>
      <w:r w:rsidR="00971A4C">
        <w:rPr>
          <w:color w:val="021142"/>
          <w:lang w:val="el-GR"/>
        </w:rPr>
        <w:t>Πιο αναλυτικά</w:t>
      </w:r>
      <w:r w:rsidR="00971A4C" w:rsidRPr="003C350F">
        <w:rPr>
          <w:color w:val="021142"/>
          <w:lang w:val="el-GR"/>
        </w:rPr>
        <w:t>:</w:t>
      </w:r>
    </w:p>
    <w:p w14:paraId="4FB47E76" w14:textId="77777777" w:rsidR="00852D18" w:rsidRPr="00A404AB" w:rsidRDefault="00852D18" w:rsidP="00AD0ED4">
      <w:pPr>
        <w:pStyle w:val="BodyText"/>
        <w:spacing w:before="1"/>
        <w:ind w:right="397"/>
        <w:rPr>
          <w:sz w:val="21"/>
          <w:lang w:val="el-GR"/>
        </w:rPr>
      </w:pPr>
    </w:p>
    <w:p w14:paraId="5A645E24" w14:textId="7C350AD9" w:rsidR="00852D18" w:rsidRPr="00950E8F" w:rsidRDefault="005511E3" w:rsidP="005442A7">
      <w:pPr>
        <w:pStyle w:val="ListParagraph"/>
        <w:numPr>
          <w:ilvl w:val="0"/>
          <w:numId w:val="14"/>
        </w:numPr>
        <w:tabs>
          <w:tab w:val="left" w:pos="697"/>
        </w:tabs>
        <w:spacing w:before="1"/>
        <w:ind w:right="397"/>
        <w:rPr>
          <w:color w:val="021142"/>
          <w:lang w:val="el-GR"/>
        </w:rPr>
      </w:pPr>
      <w:r w:rsidRPr="005442A7">
        <w:rPr>
          <w:color w:val="021142"/>
        </w:rPr>
        <w:t>T</w:t>
      </w:r>
      <w:r w:rsidRPr="005442A7">
        <w:rPr>
          <w:color w:val="021142"/>
          <w:lang w:val="el-GR"/>
        </w:rPr>
        <w:t xml:space="preserve">α </w:t>
      </w:r>
      <w:r w:rsidRPr="005442A7">
        <w:rPr>
          <w:b/>
          <w:color w:val="021142"/>
          <w:lang w:val="el-GR"/>
        </w:rPr>
        <w:t xml:space="preserve">καθαρά έσοδα από τόκους </w:t>
      </w:r>
      <w:r w:rsidR="00F010A5" w:rsidRPr="005442A7">
        <w:rPr>
          <w:color w:val="021142"/>
          <w:lang w:val="el-GR"/>
        </w:rPr>
        <w:t>αυξήθηκαν</w:t>
      </w:r>
      <w:r w:rsidR="00195AAC" w:rsidRPr="005442A7">
        <w:rPr>
          <w:color w:val="021142"/>
          <w:lang w:val="el-GR"/>
        </w:rPr>
        <w:t xml:space="preserve"> </w:t>
      </w:r>
      <w:r w:rsidR="0040283B" w:rsidRPr="005442A7">
        <w:rPr>
          <w:color w:val="021142"/>
          <w:lang w:val="el-GR"/>
        </w:rPr>
        <w:t xml:space="preserve">σε ετήσια βάση </w:t>
      </w:r>
      <w:r w:rsidR="00195AAC" w:rsidRPr="005442A7">
        <w:rPr>
          <w:color w:val="021142"/>
          <w:lang w:val="el-GR"/>
        </w:rPr>
        <w:t xml:space="preserve">κατά </w:t>
      </w:r>
      <w:r w:rsidR="0030399A" w:rsidRPr="00950E8F">
        <w:rPr>
          <w:color w:val="021142"/>
          <w:lang w:val="el-GR"/>
        </w:rPr>
        <w:t>12,2</w:t>
      </w:r>
      <w:r w:rsidR="00950CB3" w:rsidRPr="005442A7">
        <w:rPr>
          <w:color w:val="021142"/>
          <w:lang w:val="el-GR"/>
        </w:rPr>
        <w:t>%</w:t>
      </w:r>
      <w:r w:rsidR="0040283B" w:rsidRPr="005442A7">
        <w:rPr>
          <w:color w:val="021142"/>
          <w:lang w:val="el-GR"/>
        </w:rPr>
        <w:t xml:space="preserve"> </w:t>
      </w:r>
      <w:r w:rsidRPr="005442A7">
        <w:rPr>
          <w:color w:val="021142"/>
          <w:lang w:val="el-GR"/>
        </w:rPr>
        <w:t>σε €</w:t>
      </w:r>
      <w:r w:rsidR="0030399A" w:rsidRPr="00950E8F">
        <w:rPr>
          <w:color w:val="021142"/>
          <w:lang w:val="el-GR"/>
        </w:rPr>
        <w:t>1.270</w:t>
      </w:r>
      <w:r w:rsidR="002474E0" w:rsidRPr="005442A7">
        <w:rPr>
          <w:color w:val="021142"/>
          <w:lang w:val="el-GR"/>
        </w:rPr>
        <w:t>εκ</w:t>
      </w:r>
      <w:r w:rsidR="00E92A4A" w:rsidRPr="005442A7">
        <w:rPr>
          <w:color w:val="021142"/>
          <w:lang w:val="el-GR"/>
        </w:rPr>
        <w:t xml:space="preserve">. </w:t>
      </w:r>
      <w:r w:rsidR="002474E0" w:rsidRPr="005442A7">
        <w:rPr>
          <w:color w:val="021142"/>
          <w:lang w:val="el-GR"/>
        </w:rPr>
        <w:t xml:space="preserve">Το </w:t>
      </w:r>
      <w:r w:rsidR="002474E0" w:rsidRPr="005442A7">
        <w:rPr>
          <w:b/>
          <w:bCs/>
          <w:color w:val="021142"/>
          <w:lang w:val="el-GR"/>
        </w:rPr>
        <w:t>καθαρό περιθώριο επιτοκίου</w:t>
      </w:r>
      <w:r w:rsidR="002474E0" w:rsidRPr="005442A7">
        <w:rPr>
          <w:color w:val="021142"/>
          <w:lang w:val="el-GR"/>
        </w:rPr>
        <w:t xml:space="preserve"> </w:t>
      </w:r>
      <w:r w:rsidR="00EF750F" w:rsidRPr="005442A7">
        <w:rPr>
          <w:color w:val="021142"/>
          <w:lang w:val="el-GR"/>
        </w:rPr>
        <w:t xml:space="preserve">υποχώρησε κατά </w:t>
      </w:r>
      <w:r w:rsidR="005442A7" w:rsidRPr="00950E8F">
        <w:rPr>
          <w:color w:val="021142"/>
          <w:lang w:val="el-GR"/>
        </w:rPr>
        <w:t>32</w:t>
      </w:r>
      <w:r w:rsidR="00EF750F" w:rsidRPr="005442A7">
        <w:rPr>
          <w:color w:val="021142"/>
          <w:lang w:val="el-GR"/>
        </w:rPr>
        <w:t xml:space="preserve"> μονάδες βάσης το 12-μηνο σε </w:t>
      </w:r>
      <w:r w:rsidR="005442A7" w:rsidRPr="00950E8F">
        <w:rPr>
          <w:color w:val="021142"/>
          <w:lang w:val="el-GR"/>
        </w:rPr>
        <w:t>2</w:t>
      </w:r>
      <w:r w:rsidR="00C557AE" w:rsidRPr="005442A7">
        <w:rPr>
          <w:color w:val="021142"/>
          <w:lang w:val="el-GR"/>
        </w:rPr>
        <w:t>,</w:t>
      </w:r>
      <w:r w:rsidR="005442A7" w:rsidRPr="00950E8F">
        <w:rPr>
          <w:color w:val="021142"/>
          <w:lang w:val="el-GR"/>
        </w:rPr>
        <w:t>51</w:t>
      </w:r>
      <w:r w:rsidR="00C557AE" w:rsidRPr="005442A7">
        <w:rPr>
          <w:color w:val="021142"/>
          <w:lang w:val="el-GR"/>
        </w:rPr>
        <w:t>%</w:t>
      </w:r>
      <w:r w:rsidR="005442A7" w:rsidRPr="00950E8F">
        <w:rPr>
          <w:color w:val="021142"/>
          <w:lang w:val="el-GR"/>
        </w:rPr>
        <w:t xml:space="preserve">, </w:t>
      </w:r>
      <w:r w:rsidR="005442A7" w:rsidRPr="005442A7">
        <w:rPr>
          <w:color w:val="021142"/>
          <w:lang w:val="el-GR"/>
        </w:rPr>
        <w:t>αντικατοπτρίζοντας την μείωση των επιτοκίων από την ΕΚΤ (</w:t>
      </w:r>
      <w:r w:rsidR="005442A7">
        <w:rPr>
          <w:color w:val="021142"/>
          <w:lang w:val="el-GR"/>
        </w:rPr>
        <w:t>το μέσο επιτόκιο δ</w:t>
      </w:r>
      <w:r w:rsidR="005442A7" w:rsidRPr="005442A7">
        <w:rPr>
          <w:color w:val="021142"/>
          <w:lang w:val="el-GR"/>
        </w:rPr>
        <w:t>ιευκόλυνση</w:t>
      </w:r>
      <w:r w:rsidR="005442A7">
        <w:rPr>
          <w:color w:val="021142"/>
          <w:lang w:val="el-GR"/>
        </w:rPr>
        <w:t>ς</w:t>
      </w:r>
      <w:r w:rsidR="005442A7" w:rsidRPr="005442A7">
        <w:rPr>
          <w:color w:val="021142"/>
          <w:lang w:val="el-GR"/>
        </w:rPr>
        <w:t xml:space="preserve"> αποδοχής καταθέσεων</w:t>
      </w:r>
      <w:r w:rsidR="005442A7">
        <w:rPr>
          <w:color w:val="021142"/>
          <w:lang w:val="el-GR"/>
        </w:rPr>
        <w:t xml:space="preserve"> της ΕΚΤ μειώθηκε σε 252 μονάδες βάσης </w:t>
      </w:r>
      <w:r w:rsidR="00E734E4">
        <w:rPr>
          <w:color w:val="021142"/>
          <w:lang w:val="el-GR"/>
        </w:rPr>
        <w:t>το Α΄ Εξάμηνο 2025, έναντι με 397 μονάδες βάσης το Α΄ Εξάμηνο 2024</w:t>
      </w:r>
      <w:r w:rsidR="00BB0E7C" w:rsidRPr="00950E8F">
        <w:rPr>
          <w:color w:val="021142"/>
          <w:lang w:val="el-GR"/>
        </w:rPr>
        <w:t>)</w:t>
      </w:r>
      <w:r w:rsidR="00E734E4">
        <w:rPr>
          <w:color w:val="021142"/>
          <w:lang w:val="el-GR"/>
        </w:rPr>
        <w:t>.</w:t>
      </w:r>
    </w:p>
    <w:p w14:paraId="577C6CC9" w14:textId="77777777" w:rsidR="00852D18" w:rsidRPr="005511E3" w:rsidRDefault="00852D18" w:rsidP="000F5589">
      <w:pPr>
        <w:pStyle w:val="BodyText"/>
        <w:spacing w:before="5"/>
        <w:ind w:right="397"/>
        <w:rPr>
          <w:lang w:val="el-GR"/>
        </w:rPr>
      </w:pPr>
    </w:p>
    <w:p w14:paraId="5B662F76" w14:textId="1A6E85DE" w:rsidR="00852D18" w:rsidRPr="00E734E4" w:rsidRDefault="005511E3" w:rsidP="000F5589">
      <w:pPr>
        <w:pStyle w:val="ListParagraph"/>
        <w:numPr>
          <w:ilvl w:val="0"/>
          <w:numId w:val="14"/>
        </w:numPr>
        <w:tabs>
          <w:tab w:val="left" w:pos="725"/>
        </w:tabs>
        <w:spacing w:line="252" w:lineRule="auto"/>
        <w:ind w:right="397"/>
        <w:rPr>
          <w:lang w:val="el-GR"/>
        </w:rPr>
      </w:pPr>
      <w:r w:rsidRPr="00E734E4">
        <w:rPr>
          <w:color w:val="021142"/>
          <w:lang w:val="el-GR"/>
        </w:rPr>
        <w:t xml:space="preserve">Τα </w:t>
      </w:r>
      <w:r w:rsidRPr="00E734E4">
        <w:rPr>
          <w:b/>
          <w:color w:val="021142"/>
          <w:lang w:val="el-GR"/>
        </w:rPr>
        <w:t>καθαρά έσοδα από αμοιβές και προμήθειες</w:t>
      </w:r>
      <w:r w:rsidR="005E051C" w:rsidRPr="00E734E4">
        <w:rPr>
          <w:b/>
          <w:color w:val="021142"/>
          <w:lang w:val="el-GR"/>
        </w:rPr>
        <w:t xml:space="preserve"> </w:t>
      </w:r>
      <w:r w:rsidRPr="00E734E4">
        <w:rPr>
          <w:color w:val="021142"/>
          <w:lang w:val="el-GR"/>
        </w:rPr>
        <w:t>ενισχύθηκαν κατά</w:t>
      </w:r>
      <w:r w:rsidR="00A57D11" w:rsidRPr="00E734E4">
        <w:rPr>
          <w:color w:val="021142"/>
          <w:lang w:val="el-GR"/>
        </w:rPr>
        <w:t xml:space="preserve"> </w:t>
      </w:r>
      <w:r w:rsidR="00E734E4">
        <w:rPr>
          <w:color w:val="021142"/>
          <w:lang w:val="el-GR"/>
        </w:rPr>
        <w:t>28,9</w:t>
      </w:r>
      <w:r w:rsidRPr="00E734E4">
        <w:rPr>
          <w:color w:val="021142"/>
          <w:lang w:val="el-GR"/>
        </w:rPr>
        <w:t>%</w:t>
      </w:r>
      <w:r w:rsidR="007A5D75" w:rsidRPr="00E734E4">
        <w:rPr>
          <w:color w:val="021142"/>
          <w:lang w:val="el-GR"/>
        </w:rPr>
        <w:t xml:space="preserve"> </w:t>
      </w:r>
      <w:r w:rsidR="004B3A1B" w:rsidRPr="00E734E4">
        <w:rPr>
          <w:color w:val="021142"/>
          <w:lang w:val="el-GR"/>
        </w:rPr>
        <w:t xml:space="preserve">έναντι του </w:t>
      </w:r>
      <w:r w:rsidR="00D56F06" w:rsidRPr="00E734E4">
        <w:rPr>
          <w:color w:val="021142"/>
          <w:lang w:val="el-GR"/>
        </w:rPr>
        <w:t>Α΄</w:t>
      </w:r>
      <w:r w:rsidR="007E045C" w:rsidRPr="00E734E4">
        <w:rPr>
          <w:color w:val="021142"/>
          <w:lang w:val="el-GR"/>
        </w:rPr>
        <w:t xml:space="preserve"> Εξαμήνου </w:t>
      </w:r>
      <w:r w:rsidR="00D56F06" w:rsidRPr="00E734E4">
        <w:rPr>
          <w:color w:val="021142"/>
          <w:lang w:val="el-GR"/>
        </w:rPr>
        <w:t>2024</w:t>
      </w:r>
      <w:r w:rsidR="002474E0" w:rsidRPr="00E734E4">
        <w:rPr>
          <w:color w:val="021142"/>
          <w:lang w:val="el-GR"/>
        </w:rPr>
        <w:t xml:space="preserve"> και ανήλθαν</w:t>
      </w:r>
      <w:r w:rsidRPr="00E734E4">
        <w:rPr>
          <w:color w:val="021142"/>
          <w:lang w:val="el-GR"/>
        </w:rPr>
        <w:t xml:space="preserve"> </w:t>
      </w:r>
      <w:r w:rsidR="00195AAC" w:rsidRPr="00E734E4">
        <w:rPr>
          <w:color w:val="021142"/>
          <w:lang w:val="el-GR"/>
        </w:rPr>
        <w:t>σε €</w:t>
      </w:r>
      <w:r w:rsidR="00B36593" w:rsidRPr="00662765">
        <w:rPr>
          <w:color w:val="021142"/>
          <w:lang w:val="el-GR"/>
        </w:rPr>
        <w:t>364</w:t>
      </w:r>
      <w:r w:rsidR="00B36593">
        <w:rPr>
          <w:color w:val="021142"/>
          <w:lang w:val="el-GR"/>
        </w:rPr>
        <w:t>ε</w:t>
      </w:r>
      <w:r w:rsidR="00B36593" w:rsidRPr="00E734E4">
        <w:rPr>
          <w:color w:val="021142"/>
          <w:lang w:val="el-GR"/>
        </w:rPr>
        <w:t>κ</w:t>
      </w:r>
      <w:r w:rsidRPr="00E734E4">
        <w:rPr>
          <w:color w:val="021142"/>
          <w:lang w:val="el-GR"/>
        </w:rPr>
        <w:t xml:space="preserve">., κυρίως λόγω των εσόδων από </w:t>
      </w:r>
      <w:r w:rsidR="007A5D75" w:rsidRPr="00E734E4">
        <w:rPr>
          <w:color w:val="021142"/>
          <w:lang w:val="el-GR"/>
        </w:rPr>
        <w:t>τις εργασίες του Δικτύου</w:t>
      </w:r>
      <w:r w:rsidR="00EF750F" w:rsidRPr="00E734E4">
        <w:rPr>
          <w:color w:val="021142"/>
          <w:lang w:val="el-GR"/>
        </w:rPr>
        <w:t xml:space="preserve"> και </w:t>
      </w:r>
      <w:r w:rsidR="00BB0E7C">
        <w:rPr>
          <w:color w:val="021142"/>
          <w:lang w:val="el-GR"/>
        </w:rPr>
        <w:t xml:space="preserve">της </w:t>
      </w:r>
      <w:r w:rsidR="007A5D75" w:rsidRPr="00E734E4">
        <w:rPr>
          <w:color w:val="021142"/>
          <w:lang w:val="el-GR"/>
        </w:rPr>
        <w:t>Διαχείριση</w:t>
      </w:r>
      <w:r w:rsidR="00BB0E7C">
        <w:rPr>
          <w:color w:val="021142"/>
          <w:lang w:val="el-GR"/>
        </w:rPr>
        <w:t>ς</w:t>
      </w:r>
      <w:r w:rsidR="007A5D75" w:rsidRPr="00E734E4">
        <w:rPr>
          <w:color w:val="021142"/>
          <w:lang w:val="el-GR"/>
        </w:rPr>
        <w:t xml:space="preserve"> Περιουσίας</w:t>
      </w:r>
      <w:r w:rsidR="00E734E4">
        <w:rPr>
          <w:color w:val="021142"/>
          <w:lang w:val="el-GR"/>
        </w:rPr>
        <w:t xml:space="preserve"> και των εσόδων από ασφαλιστικές δραστηριότητες μετά την απόκτηση της </w:t>
      </w:r>
      <w:r w:rsidR="00E734E4">
        <w:rPr>
          <w:color w:val="021142"/>
          <w:lang w:val="en-GB"/>
        </w:rPr>
        <w:t>CNP</w:t>
      </w:r>
      <w:r w:rsidR="00064144" w:rsidRPr="00050896">
        <w:rPr>
          <w:color w:val="021142"/>
          <w:lang w:val="el-GR"/>
        </w:rPr>
        <w:t xml:space="preserve"> </w:t>
      </w:r>
      <w:r w:rsidR="00064144">
        <w:rPr>
          <w:color w:val="021142"/>
          <w:lang w:val="en-GB"/>
        </w:rPr>
        <w:t>Cyprus</w:t>
      </w:r>
      <w:r w:rsidR="00E734E4" w:rsidRPr="00950E8F">
        <w:rPr>
          <w:color w:val="021142"/>
          <w:lang w:val="el-GR"/>
        </w:rPr>
        <w:t xml:space="preserve"> </w:t>
      </w:r>
      <w:r w:rsidR="00E734E4">
        <w:rPr>
          <w:color w:val="021142"/>
          <w:lang w:val="en-GB"/>
        </w:rPr>
        <w:t>Insurance</w:t>
      </w:r>
      <w:r w:rsidR="00E734E4">
        <w:rPr>
          <w:color w:val="021142"/>
          <w:lang w:val="el-GR"/>
        </w:rPr>
        <w:t>,</w:t>
      </w:r>
      <w:r w:rsidR="00021135" w:rsidRPr="00E734E4">
        <w:rPr>
          <w:color w:val="021142"/>
          <w:lang w:val="el-GR"/>
        </w:rPr>
        <w:t xml:space="preserve"> </w:t>
      </w:r>
      <w:r w:rsidR="00BB0E7C">
        <w:rPr>
          <w:color w:val="021142"/>
          <w:lang w:val="el-GR"/>
        </w:rPr>
        <w:t xml:space="preserve">και </w:t>
      </w:r>
      <w:r w:rsidR="00BB0E7C" w:rsidRPr="00E734E4">
        <w:rPr>
          <w:color w:val="021142"/>
          <w:lang w:val="el-GR"/>
        </w:rPr>
        <w:t>αντιστοιχ</w:t>
      </w:r>
      <w:r w:rsidR="00BB0E7C">
        <w:rPr>
          <w:color w:val="021142"/>
          <w:lang w:val="el-GR"/>
        </w:rPr>
        <w:t xml:space="preserve">ούσαν </w:t>
      </w:r>
      <w:r w:rsidRPr="00E734E4">
        <w:rPr>
          <w:color w:val="021142"/>
          <w:lang w:val="el-GR"/>
        </w:rPr>
        <w:t xml:space="preserve">σε </w:t>
      </w:r>
      <w:r w:rsidR="00E734E4">
        <w:rPr>
          <w:color w:val="021142"/>
          <w:lang w:val="el-GR"/>
        </w:rPr>
        <w:t>72</w:t>
      </w:r>
      <w:r w:rsidRPr="00E734E4">
        <w:rPr>
          <w:color w:val="021142"/>
          <w:lang w:val="el-GR"/>
        </w:rPr>
        <w:t xml:space="preserve"> μονάδες βάσης επί του συνολικού ενεργητικού</w:t>
      </w:r>
      <w:r w:rsidR="00021135" w:rsidRPr="00E734E4">
        <w:rPr>
          <w:color w:val="021142"/>
          <w:lang w:val="el-GR"/>
        </w:rPr>
        <w:t>.</w:t>
      </w:r>
    </w:p>
    <w:p w14:paraId="7A37B6E7" w14:textId="77777777" w:rsidR="00852D18" w:rsidRPr="005511E3" w:rsidRDefault="00852D18" w:rsidP="000F5589">
      <w:pPr>
        <w:pStyle w:val="BodyText"/>
        <w:spacing w:before="3"/>
        <w:ind w:right="397"/>
        <w:rPr>
          <w:sz w:val="21"/>
          <w:lang w:val="el-GR"/>
        </w:rPr>
      </w:pPr>
    </w:p>
    <w:p w14:paraId="4670B17B" w14:textId="54E3E864" w:rsidR="00852D18" w:rsidRPr="000F5589" w:rsidRDefault="000D2D2C" w:rsidP="000F5589">
      <w:pPr>
        <w:pStyle w:val="ListParagraph"/>
        <w:numPr>
          <w:ilvl w:val="0"/>
          <w:numId w:val="14"/>
        </w:numPr>
        <w:tabs>
          <w:tab w:val="left" w:pos="667"/>
        </w:tabs>
        <w:spacing w:line="237" w:lineRule="auto"/>
        <w:ind w:right="397"/>
        <w:rPr>
          <w:lang w:val="el-GR"/>
        </w:rPr>
      </w:pPr>
      <w:r>
        <w:rPr>
          <w:color w:val="021142"/>
          <w:spacing w:val="-3"/>
          <w:lang w:val="el-GR"/>
        </w:rPr>
        <w:t xml:space="preserve">Ως αποτέλεσμα των ανωτέρω, </w:t>
      </w:r>
      <w:r w:rsidR="005511E3" w:rsidRPr="000F5589">
        <w:rPr>
          <w:color w:val="021142"/>
          <w:spacing w:val="-2"/>
          <w:lang w:val="el-GR"/>
        </w:rPr>
        <w:t>τα</w:t>
      </w:r>
      <w:r w:rsidR="005511E3" w:rsidRPr="000F5589">
        <w:rPr>
          <w:color w:val="021142"/>
          <w:spacing w:val="-25"/>
          <w:lang w:val="el-GR"/>
        </w:rPr>
        <w:t xml:space="preserve"> </w:t>
      </w:r>
      <w:r w:rsidR="005511E3" w:rsidRPr="000F5589">
        <w:rPr>
          <w:b/>
          <w:color w:val="021142"/>
          <w:spacing w:val="-2"/>
          <w:lang w:val="el-GR"/>
        </w:rPr>
        <w:t>οργανικά</w:t>
      </w:r>
      <w:r w:rsidR="000F187C" w:rsidRPr="000F5589">
        <w:rPr>
          <w:b/>
          <w:color w:val="021142"/>
          <w:spacing w:val="-2"/>
          <w:lang w:val="el-GR"/>
        </w:rPr>
        <w:t xml:space="preserve"> </w:t>
      </w:r>
      <w:r w:rsidR="005511E3" w:rsidRPr="000F5589">
        <w:rPr>
          <w:b/>
          <w:color w:val="021142"/>
          <w:spacing w:val="-50"/>
          <w:lang w:val="el-GR"/>
        </w:rPr>
        <w:t xml:space="preserve"> </w:t>
      </w:r>
      <w:r w:rsidR="005511E3" w:rsidRPr="000F5589">
        <w:rPr>
          <w:b/>
          <w:color w:val="021142"/>
          <w:lang w:val="el-GR"/>
        </w:rPr>
        <w:t>έσοδα</w:t>
      </w:r>
      <w:r w:rsidR="005511E3" w:rsidRPr="000F5589">
        <w:rPr>
          <w:b/>
          <w:color w:val="021142"/>
          <w:spacing w:val="-4"/>
          <w:lang w:val="el-GR"/>
        </w:rPr>
        <w:t xml:space="preserve"> </w:t>
      </w:r>
      <w:r w:rsidR="0030612E">
        <w:rPr>
          <w:bCs/>
          <w:color w:val="021142"/>
          <w:spacing w:val="-4"/>
          <w:lang w:val="el-GR"/>
        </w:rPr>
        <w:t>αυξήθ</w:t>
      </w:r>
      <w:r w:rsidRPr="000D2D2C">
        <w:rPr>
          <w:bCs/>
          <w:color w:val="021142"/>
          <w:spacing w:val="-4"/>
          <w:lang w:val="el-GR"/>
        </w:rPr>
        <w:t>ηκαν</w:t>
      </w:r>
      <w:r>
        <w:rPr>
          <w:bCs/>
          <w:color w:val="021142"/>
          <w:spacing w:val="-4"/>
          <w:lang w:val="el-GR"/>
        </w:rPr>
        <w:t xml:space="preserve"> </w:t>
      </w:r>
      <w:r w:rsidR="002B4A24">
        <w:rPr>
          <w:color w:val="021142"/>
          <w:lang w:val="el-GR"/>
        </w:rPr>
        <w:t xml:space="preserve">σε ετήσια βάση </w:t>
      </w:r>
      <w:r w:rsidR="005511E3" w:rsidRPr="000F5589">
        <w:rPr>
          <w:color w:val="021142"/>
          <w:lang w:val="el-GR"/>
        </w:rPr>
        <w:t>κατά</w:t>
      </w:r>
      <w:r w:rsidR="005511E3" w:rsidRPr="000F5589">
        <w:rPr>
          <w:color w:val="021142"/>
          <w:spacing w:val="-5"/>
          <w:lang w:val="el-GR"/>
        </w:rPr>
        <w:t xml:space="preserve"> </w:t>
      </w:r>
      <w:r w:rsidR="00621D7E">
        <w:rPr>
          <w:color w:val="021142"/>
          <w:spacing w:val="-5"/>
          <w:lang w:val="el-GR"/>
        </w:rPr>
        <w:t>15</w:t>
      </w:r>
      <w:r w:rsidR="003C7C10">
        <w:rPr>
          <w:color w:val="021142"/>
          <w:spacing w:val="-5"/>
          <w:lang w:val="el-GR"/>
        </w:rPr>
        <w:t>,</w:t>
      </w:r>
      <w:r w:rsidR="00621D7E">
        <w:rPr>
          <w:color w:val="021142"/>
          <w:spacing w:val="-5"/>
          <w:lang w:val="el-GR"/>
        </w:rPr>
        <w:t>6</w:t>
      </w:r>
      <w:r w:rsidR="005511E3" w:rsidRPr="000F5589">
        <w:rPr>
          <w:color w:val="021142"/>
          <w:lang w:val="el-GR"/>
        </w:rPr>
        <w:t>%</w:t>
      </w:r>
      <w:r w:rsidR="00292633">
        <w:rPr>
          <w:color w:val="021142"/>
          <w:lang w:val="el-GR"/>
        </w:rPr>
        <w:t xml:space="preserve"> </w:t>
      </w:r>
      <w:r w:rsidR="005511E3" w:rsidRPr="000F5589">
        <w:rPr>
          <w:color w:val="021142"/>
          <w:lang w:val="el-GR"/>
        </w:rPr>
        <w:t>σε</w:t>
      </w:r>
      <w:r w:rsidR="005511E3" w:rsidRPr="000F5589">
        <w:rPr>
          <w:color w:val="021142"/>
          <w:spacing w:val="-5"/>
          <w:lang w:val="el-GR"/>
        </w:rPr>
        <w:t xml:space="preserve"> </w:t>
      </w:r>
      <w:r w:rsidR="005511E3" w:rsidRPr="000F5589">
        <w:rPr>
          <w:color w:val="021142"/>
          <w:lang w:val="el-GR"/>
        </w:rPr>
        <w:t>€</w:t>
      </w:r>
      <w:r w:rsidR="00621D7E">
        <w:rPr>
          <w:color w:val="021142"/>
          <w:lang w:val="el-GR"/>
        </w:rPr>
        <w:t>1.635</w:t>
      </w:r>
      <w:r w:rsidR="00F8747F">
        <w:rPr>
          <w:color w:val="021142"/>
          <w:lang w:val="el-GR"/>
        </w:rPr>
        <w:t>εκ</w:t>
      </w:r>
      <w:r w:rsidR="005511E3" w:rsidRPr="000F5589">
        <w:rPr>
          <w:color w:val="021142"/>
          <w:lang w:val="el-GR"/>
        </w:rPr>
        <w:t>.</w:t>
      </w:r>
      <w:r w:rsidR="00C56999" w:rsidRPr="00C56999">
        <w:rPr>
          <w:color w:val="021142"/>
          <w:lang w:val="el-GR"/>
        </w:rPr>
        <w:t xml:space="preserve"> </w:t>
      </w:r>
      <w:r w:rsidR="00C56999">
        <w:rPr>
          <w:color w:val="021142"/>
          <w:lang w:val="el-GR"/>
        </w:rPr>
        <w:t>και τ</w:t>
      </w:r>
      <w:r w:rsidR="005511E3" w:rsidRPr="000F5589">
        <w:rPr>
          <w:color w:val="021142"/>
          <w:lang w:val="el-GR"/>
        </w:rPr>
        <w:t>α</w:t>
      </w:r>
      <w:r w:rsidR="005511E3" w:rsidRPr="000F5589">
        <w:rPr>
          <w:color w:val="021142"/>
          <w:spacing w:val="-4"/>
          <w:lang w:val="el-GR"/>
        </w:rPr>
        <w:t xml:space="preserve"> </w:t>
      </w:r>
      <w:r w:rsidR="005511E3" w:rsidRPr="000F5589">
        <w:rPr>
          <w:b/>
          <w:color w:val="021142"/>
          <w:lang w:val="el-GR"/>
        </w:rPr>
        <w:t>συνολικά</w:t>
      </w:r>
      <w:r w:rsidR="005511E3" w:rsidRPr="000F5589">
        <w:rPr>
          <w:b/>
          <w:color w:val="021142"/>
          <w:spacing w:val="-6"/>
          <w:lang w:val="el-GR"/>
        </w:rPr>
        <w:t xml:space="preserve"> </w:t>
      </w:r>
      <w:r w:rsidR="005511E3" w:rsidRPr="000F5589">
        <w:rPr>
          <w:b/>
          <w:color w:val="021142"/>
          <w:lang w:val="el-GR"/>
        </w:rPr>
        <w:t>έσοδα</w:t>
      </w:r>
      <w:r w:rsidR="005511E3" w:rsidRPr="000F5589">
        <w:rPr>
          <w:b/>
          <w:color w:val="021142"/>
          <w:spacing w:val="-6"/>
          <w:lang w:val="el-GR"/>
        </w:rPr>
        <w:t xml:space="preserve"> </w:t>
      </w:r>
      <w:r w:rsidR="003767C7">
        <w:rPr>
          <w:color w:val="021142"/>
          <w:lang w:val="el-GR"/>
        </w:rPr>
        <w:t>ενισχύθηκα</w:t>
      </w:r>
      <w:r w:rsidR="00CB7D3A">
        <w:rPr>
          <w:color w:val="021142"/>
          <w:lang w:val="el-GR"/>
        </w:rPr>
        <w:t>ν</w:t>
      </w:r>
      <w:r w:rsidR="00F8747F">
        <w:rPr>
          <w:color w:val="021142"/>
          <w:lang w:val="el-GR"/>
        </w:rPr>
        <w:t xml:space="preserve"> </w:t>
      </w:r>
      <w:r w:rsidR="005E051C">
        <w:rPr>
          <w:color w:val="021142"/>
          <w:lang w:val="el-GR"/>
        </w:rPr>
        <w:t xml:space="preserve">κατά </w:t>
      </w:r>
      <w:r w:rsidR="00621D7E">
        <w:rPr>
          <w:color w:val="021142"/>
          <w:lang w:val="el-GR"/>
        </w:rPr>
        <w:t>13</w:t>
      </w:r>
      <w:r w:rsidR="002B4A24">
        <w:rPr>
          <w:color w:val="021142"/>
          <w:lang w:val="el-GR"/>
        </w:rPr>
        <w:t>,</w:t>
      </w:r>
      <w:r w:rsidR="00621D7E">
        <w:rPr>
          <w:color w:val="021142"/>
          <w:lang w:val="el-GR"/>
        </w:rPr>
        <w:t>8</w:t>
      </w:r>
      <w:r w:rsidR="005E051C">
        <w:rPr>
          <w:color w:val="021142"/>
          <w:lang w:val="el-GR"/>
        </w:rPr>
        <w:t>%</w:t>
      </w:r>
      <w:r w:rsidR="00292633">
        <w:rPr>
          <w:color w:val="021142"/>
          <w:lang w:val="el-GR"/>
        </w:rPr>
        <w:t xml:space="preserve"> έναντι του Α΄</w:t>
      </w:r>
      <w:r w:rsidR="007E045C">
        <w:rPr>
          <w:color w:val="021142"/>
          <w:lang w:val="el-GR"/>
        </w:rPr>
        <w:t xml:space="preserve"> Εξαμήνου </w:t>
      </w:r>
      <w:r w:rsidR="00292633">
        <w:rPr>
          <w:color w:val="021142"/>
          <w:lang w:val="el-GR"/>
        </w:rPr>
        <w:t>2024 σε €</w:t>
      </w:r>
      <w:r w:rsidR="00621D7E">
        <w:rPr>
          <w:color w:val="021142"/>
          <w:lang w:val="el-GR"/>
        </w:rPr>
        <w:t>1.661ε</w:t>
      </w:r>
      <w:r w:rsidR="00292633">
        <w:rPr>
          <w:color w:val="021142"/>
          <w:lang w:val="el-GR"/>
        </w:rPr>
        <w:t>κ.</w:t>
      </w:r>
    </w:p>
    <w:p w14:paraId="6C55955F" w14:textId="77777777" w:rsidR="00852D18" w:rsidRPr="005511E3" w:rsidRDefault="00852D18" w:rsidP="000F5589">
      <w:pPr>
        <w:pStyle w:val="BodyText"/>
        <w:spacing w:before="10"/>
        <w:ind w:right="397"/>
        <w:rPr>
          <w:lang w:val="el-GR"/>
        </w:rPr>
      </w:pPr>
    </w:p>
    <w:p w14:paraId="2A50479D" w14:textId="1F193062" w:rsidR="00852D18" w:rsidRPr="00E036F6" w:rsidRDefault="005511E3" w:rsidP="000F5589">
      <w:pPr>
        <w:pStyle w:val="ListParagraph"/>
        <w:numPr>
          <w:ilvl w:val="0"/>
          <w:numId w:val="14"/>
        </w:numPr>
        <w:tabs>
          <w:tab w:val="left" w:pos="676"/>
        </w:tabs>
        <w:spacing w:line="244" w:lineRule="auto"/>
        <w:ind w:right="397"/>
        <w:rPr>
          <w:bCs/>
          <w:lang w:val="el-GR"/>
        </w:rPr>
      </w:pPr>
      <w:r w:rsidRPr="000F5589">
        <w:rPr>
          <w:color w:val="021142"/>
          <w:spacing w:val="-2"/>
          <w:lang w:val="el-GR"/>
        </w:rPr>
        <w:t>Οι</w:t>
      </w:r>
      <w:r w:rsidRPr="000F5589">
        <w:rPr>
          <w:color w:val="021142"/>
          <w:spacing w:val="-16"/>
          <w:lang w:val="el-GR"/>
        </w:rPr>
        <w:t xml:space="preserve"> </w:t>
      </w:r>
      <w:r w:rsidR="00671F8B">
        <w:rPr>
          <w:b/>
          <w:color w:val="021142"/>
          <w:spacing w:val="-2"/>
          <w:lang w:val="el-GR"/>
        </w:rPr>
        <w:t>λ</w:t>
      </w:r>
      <w:r w:rsidRPr="000F5589">
        <w:rPr>
          <w:b/>
          <w:color w:val="021142"/>
          <w:spacing w:val="-2"/>
          <w:lang w:val="el-GR"/>
        </w:rPr>
        <w:t>ειτουργικές</w:t>
      </w:r>
      <w:r w:rsidRPr="000F5589">
        <w:rPr>
          <w:b/>
          <w:color w:val="021142"/>
          <w:spacing w:val="-16"/>
          <w:lang w:val="el-GR"/>
        </w:rPr>
        <w:t xml:space="preserve"> </w:t>
      </w:r>
      <w:r w:rsidRPr="000F5589">
        <w:rPr>
          <w:b/>
          <w:color w:val="021142"/>
          <w:spacing w:val="-2"/>
          <w:lang w:val="el-GR"/>
        </w:rPr>
        <w:t>δαπάνες</w:t>
      </w:r>
      <w:r w:rsidRPr="000F5589">
        <w:rPr>
          <w:color w:val="021142"/>
          <w:spacing w:val="-16"/>
          <w:lang w:val="el-GR"/>
        </w:rPr>
        <w:t xml:space="preserve"> </w:t>
      </w:r>
      <w:r w:rsidR="00A479CF">
        <w:rPr>
          <w:color w:val="021142"/>
          <w:spacing w:val="-16"/>
          <w:lang w:val="el-GR"/>
        </w:rPr>
        <w:t>αυξήθηκαν</w:t>
      </w:r>
      <w:r w:rsidR="001427D3">
        <w:rPr>
          <w:color w:val="021142"/>
          <w:spacing w:val="-16"/>
          <w:lang w:val="el-GR"/>
        </w:rPr>
        <w:t xml:space="preserve"> </w:t>
      </w:r>
      <w:r w:rsidR="006C5E75">
        <w:rPr>
          <w:color w:val="021142"/>
          <w:spacing w:val="-16"/>
          <w:lang w:val="el-GR"/>
        </w:rPr>
        <w:t xml:space="preserve">σε ετήσια βάση </w:t>
      </w:r>
      <w:r w:rsidR="001427D3">
        <w:rPr>
          <w:color w:val="021142"/>
          <w:spacing w:val="-16"/>
          <w:lang w:val="el-GR"/>
        </w:rPr>
        <w:t xml:space="preserve">κατά </w:t>
      </w:r>
      <w:r w:rsidR="00E915C1">
        <w:rPr>
          <w:color w:val="021142"/>
          <w:spacing w:val="-16"/>
          <w:lang w:val="el-GR"/>
        </w:rPr>
        <w:t>6,7</w:t>
      </w:r>
      <w:r w:rsidR="001427D3">
        <w:rPr>
          <w:color w:val="021142"/>
          <w:spacing w:val="-16"/>
          <w:lang w:val="el-GR"/>
        </w:rPr>
        <w:t xml:space="preserve">% </w:t>
      </w:r>
      <w:r w:rsidR="0070324A">
        <w:rPr>
          <w:color w:val="021142"/>
          <w:spacing w:val="-16"/>
          <w:lang w:val="el-GR"/>
        </w:rPr>
        <w:t xml:space="preserve">στην Ελλάδα </w:t>
      </w:r>
      <w:r w:rsidR="00A479CF">
        <w:rPr>
          <w:color w:val="021142"/>
          <w:spacing w:val="-16"/>
          <w:lang w:val="el-GR"/>
        </w:rPr>
        <w:t xml:space="preserve">και </w:t>
      </w:r>
      <w:r w:rsidR="00F408F4" w:rsidRPr="00950E8F">
        <w:rPr>
          <w:color w:val="021142"/>
          <w:spacing w:val="-16"/>
          <w:lang w:val="el-GR"/>
        </w:rPr>
        <w:t>34,3</w:t>
      </w:r>
      <w:r w:rsidR="005558BD">
        <w:rPr>
          <w:color w:val="021142"/>
          <w:spacing w:val="-16"/>
          <w:lang w:val="el-GR"/>
        </w:rPr>
        <w:t>%</w:t>
      </w:r>
      <w:r w:rsidR="00D144EB">
        <w:rPr>
          <w:color w:val="021142"/>
          <w:spacing w:val="-16"/>
          <w:lang w:val="el-GR"/>
        </w:rPr>
        <w:t xml:space="preserve"> </w:t>
      </w:r>
      <w:r w:rsidR="0070324A">
        <w:rPr>
          <w:color w:val="021142"/>
          <w:spacing w:val="-16"/>
          <w:lang w:val="el-GR"/>
        </w:rPr>
        <w:t xml:space="preserve">σε επίπεδο Ομίλου </w:t>
      </w:r>
      <w:r w:rsidR="00EF3BA8">
        <w:rPr>
          <w:color w:val="021142"/>
          <w:spacing w:val="-16"/>
          <w:lang w:val="el-GR"/>
        </w:rPr>
        <w:t>(</w:t>
      </w:r>
      <w:r w:rsidR="004E2148">
        <w:rPr>
          <w:color w:val="021142"/>
          <w:lang w:val="el-GR"/>
        </w:rPr>
        <w:t xml:space="preserve">ή </w:t>
      </w:r>
      <w:r w:rsidR="00F408F4" w:rsidRPr="00950E8F">
        <w:rPr>
          <w:color w:val="021142"/>
          <w:lang w:val="el-GR"/>
        </w:rPr>
        <w:t>6</w:t>
      </w:r>
      <w:r w:rsidR="00950E8F">
        <w:rPr>
          <w:color w:val="021142"/>
          <w:lang w:val="el-GR"/>
        </w:rPr>
        <w:t>,</w:t>
      </w:r>
      <w:r w:rsidR="00F408F4" w:rsidRPr="00950E8F">
        <w:rPr>
          <w:color w:val="021142"/>
          <w:lang w:val="el-GR"/>
        </w:rPr>
        <w:t>0</w:t>
      </w:r>
      <w:r w:rsidR="004E2148">
        <w:rPr>
          <w:color w:val="021142"/>
          <w:lang w:val="el-GR"/>
        </w:rPr>
        <w:t>% εξαιρουμένης της Ελληνικής Τράπεζας</w:t>
      </w:r>
      <w:r w:rsidR="00EF3BA8">
        <w:rPr>
          <w:color w:val="021142"/>
          <w:lang w:val="el-GR"/>
        </w:rPr>
        <w:t>)</w:t>
      </w:r>
      <w:r w:rsidR="004E2148">
        <w:rPr>
          <w:color w:val="021142"/>
          <w:lang w:val="el-GR"/>
        </w:rPr>
        <w:t xml:space="preserve"> </w:t>
      </w:r>
      <w:r w:rsidR="0008220A" w:rsidRPr="000F5589">
        <w:rPr>
          <w:color w:val="021142"/>
          <w:spacing w:val="-2"/>
          <w:lang w:val="el-GR"/>
        </w:rPr>
        <w:t xml:space="preserve">στα </w:t>
      </w:r>
      <w:r w:rsidRPr="000F5589">
        <w:rPr>
          <w:color w:val="021142"/>
          <w:lang w:val="el-GR"/>
        </w:rPr>
        <w:t>€</w:t>
      </w:r>
      <w:r w:rsidR="00F408F4" w:rsidRPr="00950E8F">
        <w:rPr>
          <w:color w:val="021142"/>
          <w:lang w:val="el-GR"/>
        </w:rPr>
        <w:t>614</w:t>
      </w:r>
      <w:r w:rsidRPr="000F5589">
        <w:rPr>
          <w:color w:val="021142"/>
          <w:lang w:val="el-GR"/>
        </w:rPr>
        <w:t>εκ.</w:t>
      </w:r>
      <w:r w:rsidR="001427D3">
        <w:rPr>
          <w:color w:val="021142"/>
          <w:lang w:val="el-GR"/>
        </w:rPr>
        <w:t xml:space="preserve"> </w:t>
      </w:r>
      <w:r w:rsidR="00BC3A6A">
        <w:rPr>
          <w:color w:val="021142"/>
          <w:lang w:val="el-GR"/>
        </w:rPr>
        <w:t>Οι</w:t>
      </w:r>
      <w:r w:rsidR="0008220A" w:rsidRPr="000F5589">
        <w:rPr>
          <w:color w:val="021142"/>
          <w:lang w:val="el-GR"/>
        </w:rPr>
        <w:t xml:space="preserve"> </w:t>
      </w:r>
      <w:r w:rsidR="00DB5D51" w:rsidRPr="009D265D">
        <w:rPr>
          <w:b/>
          <w:bCs/>
          <w:color w:val="021142"/>
          <w:lang w:val="el-GR"/>
        </w:rPr>
        <w:t>δείκτ</w:t>
      </w:r>
      <w:r w:rsidR="00BC3A6A">
        <w:rPr>
          <w:b/>
          <w:bCs/>
          <w:color w:val="021142"/>
          <w:lang w:val="el-GR"/>
        </w:rPr>
        <w:t>ες</w:t>
      </w:r>
      <w:r w:rsidR="00DB5D51" w:rsidRPr="009D265D">
        <w:rPr>
          <w:b/>
          <w:bCs/>
          <w:color w:val="021142"/>
          <w:lang w:val="el-GR"/>
        </w:rPr>
        <w:t xml:space="preserve"> κόστους – οργανικών εσόδων</w:t>
      </w:r>
      <w:r w:rsidR="00DB5D51">
        <w:rPr>
          <w:color w:val="021142"/>
          <w:lang w:val="el-GR"/>
        </w:rPr>
        <w:t xml:space="preserve"> </w:t>
      </w:r>
      <w:r w:rsidR="00BC3A6A">
        <w:rPr>
          <w:color w:val="021142"/>
          <w:lang w:val="el-GR"/>
        </w:rPr>
        <w:t xml:space="preserve">και </w:t>
      </w:r>
      <w:r w:rsidR="00BC3A6A" w:rsidRPr="00BC3A6A">
        <w:rPr>
          <w:b/>
          <w:bCs/>
          <w:color w:val="021142"/>
          <w:lang w:val="el-GR"/>
        </w:rPr>
        <w:t>κόστους – συνολικών εσόδων</w:t>
      </w:r>
      <w:r w:rsidR="00BC3A6A">
        <w:rPr>
          <w:color w:val="021142"/>
          <w:lang w:val="el-GR"/>
        </w:rPr>
        <w:t xml:space="preserve"> διαμορφώθηκαν σε </w:t>
      </w:r>
      <w:r w:rsidR="00F408F4" w:rsidRPr="00950E8F">
        <w:rPr>
          <w:color w:val="021142"/>
          <w:lang w:val="el-GR"/>
        </w:rPr>
        <w:t>37,6</w:t>
      </w:r>
      <w:r w:rsidR="00BC3A6A">
        <w:rPr>
          <w:color w:val="021142"/>
          <w:lang w:val="el-GR"/>
        </w:rPr>
        <w:t xml:space="preserve">% και </w:t>
      </w:r>
      <w:r w:rsidR="00F408F4" w:rsidRPr="00950E8F">
        <w:rPr>
          <w:color w:val="021142"/>
          <w:lang w:val="el-GR"/>
        </w:rPr>
        <w:t>37</w:t>
      </w:r>
      <w:r w:rsidR="00BC3A6A">
        <w:rPr>
          <w:color w:val="021142"/>
          <w:lang w:val="el-GR"/>
        </w:rPr>
        <w:t>,</w:t>
      </w:r>
      <w:r w:rsidR="00F408F4" w:rsidRPr="00950E8F">
        <w:rPr>
          <w:color w:val="021142"/>
          <w:lang w:val="el-GR"/>
        </w:rPr>
        <w:t>0</w:t>
      </w:r>
      <w:r w:rsidR="00BC3A6A">
        <w:rPr>
          <w:color w:val="021142"/>
          <w:lang w:val="el-GR"/>
        </w:rPr>
        <w:t>% αντίστοιχα το Α΄</w:t>
      </w:r>
      <w:r w:rsidR="0056350A">
        <w:rPr>
          <w:color w:val="021142"/>
          <w:lang w:val="el-GR"/>
        </w:rPr>
        <w:t xml:space="preserve"> Εξάμηνο </w:t>
      </w:r>
      <w:r w:rsidR="00BC3A6A">
        <w:rPr>
          <w:color w:val="021142"/>
          <w:lang w:val="el-GR"/>
        </w:rPr>
        <w:t>2025.</w:t>
      </w:r>
    </w:p>
    <w:p w14:paraId="64D80D4D" w14:textId="77777777" w:rsidR="00852D18" w:rsidRPr="00E62223" w:rsidRDefault="00852D18" w:rsidP="000F5589">
      <w:pPr>
        <w:pStyle w:val="BodyText"/>
        <w:spacing w:before="3"/>
        <w:ind w:right="397"/>
        <w:rPr>
          <w:sz w:val="21"/>
          <w:lang w:val="el-GR"/>
        </w:rPr>
      </w:pPr>
    </w:p>
    <w:p w14:paraId="4F8336D0" w14:textId="7FCA63C1" w:rsidR="00852D18" w:rsidRPr="00FC11B6" w:rsidRDefault="005511E3" w:rsidP="000F5589">
      <w:pPr>
        <w:pStyle w:val="ListParagraph"/>
        <w:numPr>
          <w:ilvl w:val="0"/>
          <w:numId w:val="14"/>
        </w:numPr>
        <w:tabs>
          <w:tab w:val="left" w:pos="686"/>
        </w:tabs>
        <w:spacing w:before="6"/>
        <w:ind w:right="397"/>
        <w:rPr>
          <w:bCs/>
          <w:lang w:val="el-GR"/>
        </w:rPr>
      </w:pPr>
      <w:r w:rsidRPr="006A61D8">
        <w:rPr>
          <w:color w:val="021142"/>
          <w:spacing w:val="-1"/>
          <w:lang w:val="el-GR"/>
        </w:rPr>
        <w:t>Τα</w:t>
      </w:r>
      <w:r w:rsidRPr="006A61D8">
        <w:rPr>
          <w:color w:val="021142"/>
          <w:spacing w:val="-13"/>
          <w:lang w:val="el-GR"/>
        </w:rPr>
        <w:t xml:space="preserve"> </w:t>
      </w:r>
      <w:r w:rsidRPr="006A61D8">
        <w:rPr>
          <w:b/>
          <w:color w:val="021142"/>
          <w:spacing w:val="-1"/>
          <w:lang w:val="el-GR"/>
        </w:rPr>
        <w:t>οργανικά</w:t>
      </w:r>
      <w:r w:rsidRPr="006A61D8">
        <w:rPr>
          <w:b/>
          <w:color w:val="021142"/>
          <w:spacing w:val="-11"/>
          <w:lang w:val="el-GR"/>
        </w:rPr>
        <w:t xml:space="preserve"> </w:t>
      </w:r>
      <w:r w:rsidRPr="006A61D8">
        <w:rPr>
          <w:b/>
          <w:color w:val="021142"/>
          <w:spacing w:val="-1"/>
          <w:lang w:val="el-GR"/>
        </w:rPr>
        <w:t>κέρδη</w:t>
      </w:r>
      <w:r w:rsidRPr="006A61D8">
        <w:rPr>
          <w:b/>
          <w:color w:val="021142"/>
          <w:spacing w:val="-10"/>
          <w:lang w:val="el-GR"/>
        </w:rPr>
        <w:t xml:space="preserve"> </w:t>
      </w:r>
      <w:r w:rsidRPr="006A61D8">
        <w:rPr>
          <w:b/>
          <w:color w:val="021142"/>
          <w:spacing w:val="-1"/>
          <w:lang w:val="el-GR"/>
        </w:rPr>
        <w:t>προ</w:t>
      </w:r>
      <w:r w:rsidRPr="006A61D8">
        <w:rPr>
          <w:b/>
          <w:color w:val="021142"/>
          <w:spacing w:val="-11"/>
          <w:lang w:val="el-GR"/>
        </w:rPr>
        <w:t xml:space="preserve"> </w:t>
      </w:r>
      <w:r w:rsidRPr="006A61D8">
        <w:rPr>
          <w:b/>
          <w:color w:val="021142"/>
          <w:spacing w:val="-1"/>
          <w:lang w:val="el-GR"/>
        </w:rPr>
        <w:t>προβλέψεων</w:t>
      </w:r>
      <w:r w:rsidRPr="006A61D8">
        <w:rPr>
          <w:b/>
          <w:color w:val="021142"/>
          <w:spacing w:val="-11"/>
          <w:lang w:val="el-GR"/>
        </w:rPr>
        <w:t xml:space="preserve"> </w:t>
      </w:r>
      <w:r w:rsidRPr="006A61D8">
        <w:rPr>
          <w:color w:val="021142"/>
          <w:spacing w:val="-1"/>
          <w:lang w:val="el-GR"/>
        </w:rPr>
        <w:t>αυξήθηκαν</w:t>
      </w:r>
      <w:r w:rsidRPr="006A61D8">
        <w:rPr>
          <w:color w:val="021142"/>
          <w:spacing w:val="-12"/>
          <w:lang w:val="el-GR"/>
        </w:rPr>
        <w:t xml:space="preserve"> </w:t>
      </w:r>
      <w:r w:rsidR="009F4AB7">
        <w:rPr>
          <w:color w:val="021142"/>
          <w:lang w:val="el-GR"/>
        </w:rPr>
        <w:t>σε ετήσια βάση</w:t>
      </w:r>
      <w:r w:rsidR="009F4AB7" w:rsidRPr="006A61D8">
        <w:rPr>
          <w:color w:val="021142"/>
          <w:spacing w:val="-12"/>
          <w:lang w:val="el-GR"/>
        </w:rPr>
        <w:t xml:space="preserve"> </w:t>
      </w:r>
      <w:r w:rsidRPr="006A61D8">
        <w:rPr>
          <w:color w:val="021142"/>
          <w:spacing w:val="-1"/>
          <w:lang w:val="el-GR"/>
        </w:rPr>
        <w:t>κατά</w:t>
      </w:r>
      <w:r w:rsidRPr="006A61D8">
        <w:rPr>
          <w:color w:val="021142"/>
          <w:spacing w:val="-13"/>
          <w:lang w:val="el-GR"/>
        </w:rPr>
        <w:t xml:space="preserve"> </w:t>
      </w:r>
      <w:r w:rsidR="00F408F4" w:rsidRPr="00950E8F">
        <w:rPr>
          <w:color w:val="021142"/>
          <w:spacing w:val="-13"/>
          <w:lang w:val="el-GR"/>
        </w:rPr>
        <w:t>6,6</w:t>
      </w:r>
      <w:r w:rsidRPr="006A61D8">
        <w:rPr>
          <w:color w:val="021142"/>
          <w:lang w:val="el-GR"/>
        </w:rPr>
        <w:t>%</w:t>
      </w:r>
      <w:r w:rsidR="00E22222">
        <w:rPr>
          <w:color w:val="021142"/>
          <w:lang w:val="el-GR"/>
        </w:rPr>
        <w:t xml:space="preserve"> </w:t>
      </w:r>
      <w:r w:rsidR="00BC3A6A">
        <w:rPr>
          <w:color w:val="021142"/>
          <w:lang w:val="el-GR"/>
        </w:rPr>
        <w:t>σε €</w:t>
      </w:r>
      <w:r w:rsidR="00F408F4" w:rsidRPr="00950E8F">
        <w:rPr>
          <w:color w:val="021142"/>
          <w:lang w:val="el-GR"/>
        </w:rPr>
        <w:t>1.021</w:t>
      </w:r>
      <w:r w:rsidR="00BC3A6A">
        <w:rPr>
          <w:color w:val="021142"/>
          <w:lang w:val="el-GR"/>
        </w:rPr>
        <w:t>εκ</w:t>
      </w:r>
      <w:r w:rsidR="00F408F4">
        <w:rPr>
          <w:color w:val="021142"/>
          <w:lang w:val="el-GR"/>
        </w:rPr>
        <w:t xml:space="preserve">, ενώ τα </w:t>
      </w:r>
      <w:r w:rsidRPr="006A61D8">
        <w:rPr>
          <w:b/>
          <w:color w:val="021142"/>
          <w:spacing w:val="-1"/>
          <w:lang w:val="el-GR"/>
        </w:rPr>
        <w:t>συνολικά</w:t>
      </w:r>
      <w:r w:rsidRPr="006A61D8">
        <w:rPr>
          <w:b/>
          <w:color w:val="021142"/>
          <w:spacing w:val="-12"/>
          <w:lang w:val="el-GR"/>
        </w:rPr>
        <w:t xml:space="preserve"> </w:t>
      </w:r>
      <w:r w:rsidRPr="006A61D8">
        <w:rPr>
          <w:b/>
          <w:color w:val="021142"/>
          <w:spacing w:val="-1"/>
          <w:lang w:val="el-GR"/>
        </w:rPr>
        <w:t>κέρδη</w:t>
      </w:r>
      <w:r w:rsidRPr="006A61D8">
        <w:rPr>
          <w:b/>
          <w:color w:val="021142"/>
          <w:spacing w:val="-12"/>
          <w:lang w:val="el-GR"/>
        </w:rPr>
        <w:t xml:space="preserve"> </w:t>
      </w:r>
      <w:r w:rsidRPr="006A61D8">
        <w:rPr>
          <w:b/>
          <w:color w:val="021142"/>
          <w:spacing w:val="-1"/>
          <w:lang w:val="el-GR"/>
        </w:rPr>
        <w:t>προ</w:t>
      </w:r>
      <w:r w:rsidRPr="006A61D8">
        <w:rPr>
          <w:b/>
          <w:color w:val="021142"/>
          <w:spacing w:val="-11"/>
          <w:lang w:val="el-GR"/>
        </w:rPr>
        <w:t xml:space="preserve"> </w:t>
      </w:r>
      <w:r w:rsidRPr="006A61D8">
        <w:rPr>
          <w:b/>
          <w:color w:val="021142"/>
          <w:spacing w:val="-1"/>
          <w:lang w:val="el-GR"/>
        </w:rPr>
        <w:t>προβλέψεων</w:t>
      </w:r>
      <w:r w:rsidRPr="006A61D8">
        <w:rPr>
          <w:b/>
          <w:color w:val="021142"/>
          <w:spacing w:val="-11"/>
          <w:lang w:val="el-GR"/>
        </w:rPr>
        <w:t xml:space="preserve"> </w:t>
      </w:r>
      <w:r w:rsidR="00F408F4">
        <w:rPr>
          <w:bCs/>
          <w:color w:val="021142"/>
          <w:spacing w:val="-11"/>
          <w:lang w:val="el-GR"/>
        </w:rPr>
        <w:t xml:space="preserve">αυξήθηκαν </w:t>
      </w:r>
      <w:r w:rsidR="00CD13BC" w:rsidRPr="00CD13BC">
        <w:rPr>
          <w:bCs/>
          <w:color w:val="021142"/>
          <w:spacing w:val="-11"/>
          <w:lang w:val="el-GR"/>
        </w:rPr>
        <w:t>έναντι</w:t>
      </w:r>
      <w:r w:rsidR="00CD13BC">
        <w:rPr>
          <w:bCs/>
          <w:color w:val="021142"/>
          <w:spacing w:val="-11"/>
          <w:lang w:val="el-GR"/>
        </w:rPr>
        <w:t xml:space="preserve"> του Α΄</w:t>
      </w:r>
      <w:r w:rsidR="0056350A">
        <w:rPr>
          <w:bCs/>
          <w:color w:val="021142"/>
          <w:spacing w:val="-11"/>
          <w:lang w:val="el-GR"/>
        </w:rPr>
        <w:t xml:space="preserve"> Εξαμήνου </w:t>
      </w:r>
      <w:r w:rsidR="00CD13BC">
        <w:rPr>
          <w:bCs/>
          <w:color w:val="021142"/>
          <w:spacing w:val="-11"/>
          <w:lang w:val="el-GR"/>
        </w:rPr>
        <w:t>2024</w:t>
      </w:r>
      <w:r w:rsidR="00CD13BC" w:rsidRPr="00CD13BC">
        <w:rPr>
          <w:bCs/>
          <w:color w:val="021142"/>
          <w:spacing w:val="-11"/>
          <w:lang w:val="el-GR"/>
        </w:rPr>
        <w:t xml:space="preserve"> </w:t>
      </w:r>
      <w:r w:rsidR="003D46C2" w:rsidRPr="003D46C2">
        <w:rPr>
          <w:bCs/>
          <w:color w:val="021142"/>
          <w:spacing w:val="-11"/>
          <w:lang w:val="el-GR"/>
        </w:rPr>
        <w:t xml:space="preserve">κατά </w:t>
      </w:r>
      <w:r w:rsidR="00F408F4">
        <w:rPr>
          <w:bCs/>
          <w:color w:val="021142"/>
          <w:spacing w:val="-11"/>
          <w:lang w:val="el-GR"/>
        </w:rPr>
        <w:t>4,4</w:t>
      </w:r>
      <w:r w:rsidR="003D46C2" w:rsidRPr="003D46C2">
        <w:rPr>
          <w:bCs/>
          <w:color w:val="021142"/>
          <w:spacing w:val="-11"/>
          <w:lang w:val="el-GR"/>
        </w:rPr>
        <w:t>%</w:t>
      </w:r>
      <w:r w:rsidR="004F63FA">
        <w:rPr>
          <w:bCs/>
          <w:color w:val="021142"/>
          <w:spacing w:val="-11"/>
          <w:lang w:val="el-GR"/>
        </w:rPr>
        <w:t xml:space="preserve"> </w:t>
      </w:r>
      <w:r w:rsidR="00CD13BC" w:rsidRPr="00FC11B6">
        <w:rPr>
          <w:bCs/>
          <w:color w:val="021142"/>
          <w:spacing w:val="-11"/>
          <w:lang w:val="el-GR"/>
        </w:rPr>
        <w:t>σε €</w:t>
      </w:r>
      <w:r w:rsidR="00F408F4">
        <w:rPr>
          <w:bCs/>
          <w:color w:val="021142"/>
          <w:spacing w:val="-11"/>
          <w:lang w:val="el-GR"/>
        </w:rPr>
        <w:t>1.047</w:t>
      </w:r>
      <w:r w:rsidR="00CD13BC" w:rsidRPr="00FC11B6">
        <w:rPr>
          <w:bCs/>
          <w:color w:val="021142"/>
          <w:spacing w:val="-11"/>
          <w:lang w:val="el-GR"/>
        </w:rPr>
        <w:t>εκ</w:t>
      </w:r>
      <w:r w:rsidR="00CD13BC">
        <w:rPr>
          <w:color w:val="021142"/>
          <w:lang w:val="el-GR"/>
        </w:rPr>
        <w:t>.</w:t>
      </w:r>
      <w:r w:rsidR="009F4AB7">
        <w:rPr>
          <w:color w:val="021142"/>
          <w:lang w:val="el-GR"/>
        </w:rPr>
        <w:t xml:space="preserve"> </w:t>
      </w:r>
    </w:p>
    <w:p w14:paraId="77DA9C5B" w14:textId="77777777" w:rsidR="006A61D8" w:rsidRPr="006A61D8" w:rsidRDefault="006A61D8" w:rsidP="006A61D8">
      <w:pPr>
        <w:tabs>
          <w:tab w:val="left" w:pos="686"/>
        </w:tabs>
        <w:spacing w:before="6"/>
        <w:ind w:right="397"/>
        <w:rPr>
          <w:lang w:val="el-GR"/>
        </w:rPr>
      </w:pPr>
    </w:p>
    <w:p w14:paraId="18AD4440" w14:textId="26AA8927" w:rsidR="00403DE3" w:rsidRPr="000F5589" w:rsidRDefault="005511E3" w:rsidP="000F5589">
      <w:pPr>
        <w:pStyle w:val="ListParagraph"/>
        <w:numPr>
          <w:ilvl w:val="0"/>
          <w:numId w:val="14"/>
        </w:numPr>
        <w:tabs>
          <w:tab w:val="left" w:pos="660"/>
        </w:tabs>
        <w:spacing w:line="242" w:lineRule="auto"/>
        <w:ind w:right="397"/>
        <w:rPr>
          <w:lang w:val="el-GR"/>
        </w:rPr>
      </w:pPr>
      <w:r w:rsidRPr="000F5589">
        <w:rPr>
          <w:b/>
          <w:color w:val="021142"/>
          <w:spacing w:val="-2"/>
          <w:lang w:val="el-GR"/>
        </w:rPr>
        <w:t>Οι</w:t>
      </w:r>
      <w:r w:rsidRPr="000F5589">
        <w:rPr>
          <w:b/>
          <w:color w:val="021142"/>
          <w:spacing w:val="-8"/>
          <w:lang w:val="el-GR"/>
        </w:rPr>
        <w:t xml:space="preserve"> </w:t>
      </w:r>
      <w:r w:rsidRPr="000F5589">
        <w:rPr>
          <w:b/>
          <w:color w:val="021142"/>
          <w:spacing w:val="-2"/>
          <w:lang w:val="el-GR"/>
        </w:rPr>
        <w:t>προβλέψεις</w:t>
      </w:r>
      <w:r w:rsidRPr="000F5589">
        <w:rPr>
          <w:b/>
          <w:color w:val="021142"/>
          <w:spacing w:val="-31"/>
          <w:lang w:val="el-GR"/>
        </w:rPr>
        <w:t xml:space="preserve"> </w:t>
      </w:r>
      <w:r w:rsidRPr="000F5589">
        <w:rPr>
          <w:b/>
          <w:color w:val="021142"/>
          <w:spacing w:val="-2"/>
          <w:lang w:val="el-GR"/>
        </w:rPr>
        <w:t>επισφαλών</w:t>
      </w:r>
      <w:r w:rsidRPr="000F5589">
        <w:rPr>
          <w:b/>
          <w:color w:val="021142"/>
          <w:spacing w:val="-31"/>
          <w:lang w:val="el-GR"/>
        </w:rPr>
        <w:t xml:space="preserve"> </w:t>
      </w:r>
      <w:r w:rsidRPr="000F5589">
        <w:rPr>
          <w:b/>
          <w:color w:val="021142"/>
          <w:spacing w:val="-2"/>
          <w:lang w:val="el-GR"/>
        </w:rPr>
        <w:t>απαιτήσεων</w:t>
      </w:r>
      <w:r w:rsidRPr="000F5589">
        <w:rPr>
          <w:b/>
          <w:color w:val="021142"/>
          <w:spacing w:val="-30"/>
          <w:lang w:val="el-GR"/>
        </w:rPr>
        <w:t xml:space="preserve"> </w:t>
      </w:r>
      <w:r w:rsidR="00CD13BC">
        <w:rPr>
          <w:color w:val="021142"/>
          <w:spacing w:val="-2"/>
          <w:lang w:val="el-GR"/>
        </w:rPr>
        <w:t>αυξήθηκαν έ</w:t>
      </w:r>
      <w:r w:rsidR="0012420A">
        <w:rPr>
          <w:color w:val="021142"/>
          <w:spacing w:val="-2"/>
          <w:lang w:val="el-GR"/>
        </w:rPr>
        <w:t xml:space="preserve">ναντι του </w:t>
      </w:r>
      <w:r w:rsidR="00D56F06">
        <w:rPr>
          <w:color w:val="021142"/>
          <w:spacing w:val="-2"/>
          <w:lang w:val="el-GR"/>
        </w:rPr>
        <w:t>Α΄</w:t>
      </w:r>
      <w:r w:rsidR="00B417F5">
        <w:rPr>
          <w:color w:val="021142"/>
          <w:spacing w:val="-2"/>
          <w:lang w:val="el-GR"/>
        </w:rPr>
        <w:t xml:space="preserve"> Εξαμήνου </w:t>
      </w:r>
      <w:r w:rsidR="00D56F06">
        <w:rPr>
          <w:color w:val="021142"/>
          <w:spacing w:val="-2"/>
          <w:lang w:val="el-GR"/>
        </w:rPr>
        <w:t>2024</w:t>
      </w:r>
      <w:r w:rsidR="0039063F" w:rsidRPr="0039063F">
        <w:rPr>
          <w:color w:val="021142"/>
          <w:spacing w:val="-32"/>
          <w:lang w:val="el-GR"/>
        </w:rPr>
        <w:t xml:space="preserve"> </w:t>
      </w:r>
      <w:r w:rsidR="00FC11B6">
        <w:rPr>
          <w:color w:val="021142"/>
          <w:spacing w:val="-2"/>
          <w:lang w:val="el-GR"/>
        </w:rPr>
        <w:t xml:space="preserve">κατά </w:t>
      </w:r>
      <w:r w:rsidR="007E54FF">
        <w:rPr>
          <w:color w:val="021142"/>
          <w:spacing w:val="-2"/>
          <w:lang w:val="el-GR"/>
        </w:rPr>
        <w:t>8,1</w:t>
      </w:r>
      <w:r w:rsidR="00FC11B6">
        <w:rPr>
          <w:color w:val="021142"/>
          <w:spacing w:val="-2"/>
          <w:lang w:val="el-GR"/>
        </w:rPr>
        <w:t>%</w:t>
      </w:r>
      <w:r w:rsidR="0039063F" w:rsidRPr="0039063F">
        <w:rPr>
          <w:color w:val="021142"/>
          <w:spacing w:val="-2"/>
          <w:lang w:val="el-GR"/>
        </w:rPr>
        <w:t xml:space="preserve"> </w:t>
      </w:r>
      <w:r w:rsidR="0039063F">
        <w:rPr>
          <w:color w:val="021142"/>
          <w:spacing w:val="-2"/>
          <w:lang w:val="el-GR"/>
        </w:rPr>
        <w:t>σε €</w:t>
      </w:r>
      <w:r w:rsidR="007E54FF">
        <w:rPr>
          <w:color w:val="021142"/>
          <w:spacing w:val="-2"/>
          <w:lang w:val="el-GR"/>
        </w:rPr>
        <w:t>155</w:t>
      </w:r>
      <w:r w:rsidR="0039063F">
        <w:rPr>
          <w:color w:val="021142"/>
          <w:spacing w:val="-2"/>
          <w:lang w:val="el-GR"/>
        </w:rPr>
        <w:t>εκ.</w:t>
      </w:r>
      <w:r w:rsidR="00FC11B6">
        <w:rPr>
          <w:color w:val="021142"/>
          <w:spacing w:val="-2"/>
          <w:lang w:val="el-GR"/>
        </w:rPr>
        <w:t xml:space="preserve"> </w:t>
      </w:r>
      <w:r w:rsidRPr="000F5589">
        <w:rPr>
          <w:color w:val="021142"/>
          <w:spacing w:val="-1"/>
          <w:lang w:val="el-GR"/>
        </w:rPr>
        <w:t>και</w:t>
      </w:r>
      <w:r w:rsidRPr="000F5589">
        <w:rPr>
          <w:color w:val="021142"/>
          <w:spacing w:val="-32"/>
          <w:lang w:val="el-GR"/>
        </w:rPr>
        <w:t xml:space="preserve"> </w:t>
      </w:r>
      <w:r w:rsidR="00403DE3" w:rsidRPr="000F5589">
        <w:rPr>
          <w:color w:val="021142"/>
          <w:spacing w:val="-1"/>
          <w:lang w:val="el-GR"/>
        </w:rPr>
        <w:t xml:space="preserve">αντιστοιχούσαν </w:t>
      </w:r>
      <w:r w:rsidRPr="000F5589">
        <w:rPr>
          <w:color w:val="021142"/>
          <w:lang w:val="el-GR"/>
        </w:rPr>
        <w:t>σε</w:t>
      </w:r>
      <w:r w:rsidR="00403DE3" w:rsidRPr="000F5589">
        <w:rPr>
          <w:color w:val="021142"/>
          <w:spacing w:val="-1"/>
          <w:lang w:val="el-GR"/>
        </w:rPr>
        <w:t xml:space="preserve"> </w:t>
      </w:r>
      <w:r w:rsidR="007E54FF">
        <w:rPr>
          <w:color w:val="021142"/>
          <w:spacing w:val="-1"/>
          <w:lang w:val="el-GR"/>
        </w:rPr>
        <w:t>60</w:t>
      </w:r>
      <w:r w:rsidR="005F2727" w:rsidRPr="000F5589">
        <w:rPr>
          <w:color w:val="021142"/>
          <w:spacing w:val="-2"/>
          <w:vertAlign w:val="superscript"/>
          <w:lang w:val="el-GR"/>
        </w:rPr>
        <w:t xml:space="preserve"> </w:t>
      </w:r>
      <w:r w:rsidRPr="000F5589">
        <w:rPr>
          <w:color w:val="021142"/>
          <w:lang w:val="el-GR"/>
        </w:rPr>
        <w:t>μονάδες</w:t>
      </w:r>
      <w:r w:rsidRPr="000F5589">
        <w:rPr>
          <w:color w:val="021142"/>
          <w:spacing w:val="-1"/>
          <w:lang w:val="el-GR"/>
        </w:rPr>
        <w:t xml:space="preserve"> </w:t>
      </w:r>
      <w:r w:rsidRPr="000F5589">
        <w:rPr>
          <w:color w:val="021142"/>
          <w:lang w:val="el-GR"/>
        </w:rPr>
        <w:t>βάσης</w:t>
      </w:r>
      <w:r w:rsidRPr="000F5589">
        <w:rPr>
          <w:color w:val="021142"/>
          <w:spacing w:val="-1"/>
          <w:lang w:val="el-GR"/>
        </w:rPr>
        <w:t xml:space="preserve"> </w:t>
      </w:r>
      <w:r w:rsidRPr="000F5589">
        <w:rPr>
          <w:color w:val="021142"/>
          <w:lang w:val="el-GR"/>
        </w:rPr>
        <w:t>επί</w:t>
      </w:r>
      <w:r w:rsidRPr="000F5589">
        <w:rPr>
          <w:color w:val="021142"/>
          <w:spacing w:val="-1"/>
          <w:lang w:val="el-GR"/>
        </w:rPr>
        <w:t xml:space="preserve"> </w:t>
      </w:r>
      <w:r w:rsidRPr="000F5589">
        <w:rPr>
          <w:color w:val="021142"/>
          <w:lang w:val="el-GR"/>
        </w:rPr>
        <w:t>των μέσων</w:t>
      </w:r>
      <w:r w:rsidRPr="000F5589">
        <w:rPr>
          <w:color w:val="021142"/>
          <w:spacing w:val="-1"/>
          <w:lang w:val="el-GR"/>
        </w:rPr>
        <w:t xml:space="preserve"> </w:t>
      </w:r>
      <w:r w:rsidRPr="000F5589">
        <w:rPr>
          <w:color w:val="021142"/>
          <w:lang w:val="el-GR"/>
        </w:rPr>
        <w:t>χορηγήσεων</w:t>
      </w:r>
      <w:r w:rsidR="005F2727" w:rsidRPr="000F5589">
        <w:rPr>
          <w:color w:val="021142"/>
          <w:lang w:val="el-GR"/>
        </w:rPr>
        <w:t xml:space="preserve">. </w:t>
      </w:r>
    </w:p>
    <w:p w14:paraId="4A200206" w14:textId="77777777" w:rsidR="00403DE3" w:rsidRPr="00403DE3" w:rsidRDefault="00403DE3" w:rsidP="000F5589">
      <w:pPr>
        <w:pStyle w:val="ListParagraph"/>
        <w:ind w:left="-560" w:right="397"/>
        <w:rPr>
          <w:color w:val="021142"/>
          <w:lang w:val="el-GR"/>
        </w:rPr>
      </w:pPr>
    </w:p>
    <w:p w14:paraId="48FA718D" w14:textId="11E58D32" w:rsidR="00403B1C" w:rsidRPr="000F5589" w:rsidRDefault="005F2727" w:rsidP="000F5589">
      <w:pPr>
        <w:pStyle w:val="ListParagraph"/>
        <w:numPr>
          <w:ilvl w:val="0"/>
          <w:numId w:val="14"/>
        </w:numPr>
        <w:tabs>
          <w:tab w:val="left" w:pos="660"/>
        </w:tabs>
        <w:spacing w:line="242" w:lineRule="auto"/>
        <w:ind w:right="397"/>
        <w:rPr>
          <w:lang w:val="el-GR"/>
        </w:rPr>
      </w:pPr>
      <w:r w:rsidRPr="000F5589">
        <w:rPr>
          <w:color w:val="021142"/>
          <w:lang w:val="el-GR"/>
        </w:rPr>
        <w:t>Ως αποτέλεσμα των ανωτέρω, τ</w:t>
      </w:r>
      <w:r w:rsidR="00403DE3" w:rsidRPr="000F5589">
        <w:rPr>
          <w:color w:val="021142"/>
          <w:lang w:val="el-GR"/>
        </w:rPr>
        <w:t xml:space="preserve">α </w:t>
      </w:r>
      <w:r w:rsidR="00403DE3" w:rsidRPr="000F5589">
        <w:rPr>
          <w:b/>
          <w:color w:val="021142"/>
          <w:lang w:val="el-GR"/>
        </w:rPr>
        <w:t>οργανικά λειτουργικά κέρδη</w:t>
      </w:r>
      <w:r w:rsidR="00ED228D">
        <w:rPr>
          <w:b/>
          <w:color w:val="021142"/>
          <w:lang w:val="el-GR"/>
        </w:rPr>
        <w:t xml:space="preserve"> προ φόρων</w:t>
      </w:r>
      <w:r w:rsidR="00403DE3" w:rsidRPr="000F5589">
        <w:rPr>
          <w:color w:val="021142"/>
          <w:lang w:val="el-GR"/>
        </w:rPr>
        <w:t xml:space="preserve"> </w:t>
      </w:r>
      <w:r w:rsidRPr="000F5589">
        <w:rPr>
          <w:color w:val="021142"/>
          <w:lang w:val="el-GR"/>
        </w:rPr>
        <w:t xml:space="preserve">αυξήθηκαν </w:t>
      </w:r>
      <w:r w:rsidR="0012420A">
        <w:rPr>
          <w:color w:val="021142"/>
          <w:lang w:val="el-GR"/>
        </w:rPr>
        <w:t xml:space="preserve">σε ετήσια βάση </w:t>
      </w:r>
      <w:r w:rsidR="003D46C2">
        <w:rPr>
          <w:color w:val="021142"/>
          <w:lang w:val="el-GR"/>
        </w:rPr>
        <w:t xml:space="preserve">κατά </w:t>
      </w:r>
      <w:r w:rsidR="007E54FF">
        <w:rPr>
          <w:color w:val="021142"/>
          <w:lang w:val="el-GR"/>
        </w:rPr>
        <w:t>6,3</w:t>
      </w:r>
      <w:r w:rsidR="003D46C2">
        <w:rPr>
          <w:color w:val="021142"/>
          <w:lang w:val="el-GR"/>
        </w:rPr>
        <w:t>%</w:t>
      </w:r>
      <w:r w:rsidR="00351A8D">
        <w:rPr>
          <w:color w:val="021142"/>
          <w:lang w:val="el-GR"/>
        </w:rPr>
        <w:t xml:space="preserve"> </w:t>
      </w:r>
      <w:r w:rsidR="00A73A65">
        <w:rPr>
          <w:color w:val="021142"/>
          <w:lang w:val="el-GR"/>
        </w:rPr>
        <w:t>σε €</w:t>
      </w:r>
      <w:r w:rsidR="007E54FF">
        <w:rPr>
          <w:color w:val="021142"/>
          <w:lang w:val="el-GR"/>
        </w:rPr>
        <w:t>866</w:t>
      </w:r>
      <w:r w:rsidR="00A73A65">
        <w:rPr>
          <w:color w:val="021142"/>
          <w:lang w:val="el-GR"/>
        </w:rPr>
        <w:t>εκ.</w:t>
      </w:r>
      <w:r w:rsidR="00AD439D">
        <w:rPr>
          <w:color w:val="021142"/>
          <w:lang w:val="el-GR"/>
        </w:rPr>
        <w:t xml:space="preserve"> </w:t>
      </w:r>
    </w:p>
    <w:p w14:paraId="4AE3121A" w14:textId="77777777" w:rsidR="00403B1C" w:rsidRPr="00403B1C" w:rsidRDefault="00403B1C" w:rsidP="000F5589">
      <w:pPr>
        <w:pStyle w:val="ListParagraph"/>
        <w:ind w:left="-560"/>
        <w:rPr>
          <w:color w:val="021142"/>
          <w:lang w:val="el-GR"/>
        </w:rPr>
      </w:pPr>
    </w:p>
    <w:p w14:paraId="043A4E29" w14:textId="07AC2549" w:rsidR="00403DE3" w:rsidRPr="0047723F" w:rsidRDefault="00403B1C" w:rsidP="0047723F">
      <w:pPr>
        <w:pStyle w:val="ListParagraph"/>
        <w:numPr>
          <w:ilvl w:val="0"/>
          <w:numId w:val="14"/>
        </w:numPr>
        <w:tabs>
          <w:tab w:val="left" w:pos="660"/>
        </w:tabs>
        <w:spacing w:line="242" w:lineRule="auto"/>
        <w:ind w:right="397"/>
        <w:rPr>
          <w:color w:val="021142"/>
          <w:lang w:val="el-GR"/>
        </w:rPr>
      </w:pPr>
      <w:r w:rsidRPr="000F5589">
        <w:rPr>
          <w:b/>
          <w:bCs/>
          <w:color w:val="021142"/>
          <w:lang w:val="el-GR"/>
        </w:rPr>
        <w:t xml:space="preserve">Τα προσαρμοσμένα </w:t>
      </w:r>
      <w:r w:rsidR="00351A8D" w:rsidRPr="000F5589">
        <w:rPr>
          <w:b/>
          <w:bCs/>
          <w:color w:val="021142"/>
          <w:lang w:val="el-GR"/>
        </w:rPr>
        <w:t xml:space="preserve">καθαρά </w:t>
      </w:r>
      <w:r w:rsidRPr="000F5589">
        <w:rPr>
          <w:b/>
          <w:bCs/>
          <w:color w:val="021142"/>
          <w:lang w:val="el-GR"/>
        </w:rPr>
        <w:t xml:space="preserve">κέρδη </w:t>
      </w:r>
      <w:r w:rsidR="00A73A65" w:rsidRPr="00A73A65">
        <w:rPr>
          <w:color w:val="021142"/>
          <w:lang w:val="el-GR"/>
        </w:rPr>
        <w:t xml:space="preserve">διαμορφώθηκαν </w:t>
      </w:r>
      <w:r w:rsidR="00A73A65">
        <w:rPr>
          <w:color w:val="021142"/>
          <w:lang w:val="el-GR"/>
        </w:rPr>
        <w:t xml:space="preserve">σε </w:t>
      </w:r>
      <w:r w:rsidR="00A73A65" w:rsidRPr="000F5589">
        <w:rPr>
          <w:color w:val="021142"/>
          <w:lang w:val="el-GR"/>
        </w:rPr>
        <w:t>€</w:t>
      </w:r>
      <w:r w:rsidR="007E54FF">
        <w:rPr>
          <w:color w:val="021142"/>
          <w:lang w:val="el-GR"/>
        </w:rPr>
        <w:t>711</w:t>
      </w:r>
      <w:r w:rsidR="00A73A65">
        <w:rPr>
          <w:color w:val="021142"/>
          <w:lang w:val="el-GR"/>
        </w:rPr>
        <w:t>εκ</w:t>
      </w:r>
      <w:r w:rsidR="00A73A65" w:rsidRPr="000F5589">
        <w:rPr>
          <w:color w:val="021142"/>
          <w:lang w:val="el-GR"/>
        </w:rPr>
        <w:t>.</w:t>
      </w:r>
      <w:r w:rsidR="00623A6B" w:rsidRPr="00950E8F">
        <w:rPr>
          <w:color w:val="021142"/>
          <w:lang w:val="el-GR"/>
        </w:rPr>
        <w:t xml:space="preserve">, </w:t>
      </w:r>
      <w:r w:rsidR="00A73A65">
        <w:rPr>
          <w:color w:val="021142"/>
          <w:lang w:val="el-GR"/>
        </w:rPr>
        <w:t xml:space="preserve">μειωμένα </w:t>
      </w:r>
      <w:r w:rsidR="00351A8D">
        <w:rPr>
          <w:color w:val="021142"/>
          <w:lang w:val="el-GR"/>
        </w:rPr>
        <w:t xml:space="preserve">κατά </w:t>
      </w:r>
      <w:r w:rsidR="007E54FF">
        <w:rPr>
          <w:color w:val="021142"/>
          <w:lang w:val="el-GR"/>
        </w:rPr>
        <w:t>2,</w:t>
      </w:r>
      <w:r w:rsidR="005F4463" w:rsidRPr="005F4463">
        <w:rPr>
          <w:color w:val="021142"/>
          <w:lang w:val="el-GR"/>
        </w:rPr>
        <w:t>9</w:t>
      </w:r>
      <w:r w:rsidR="00351A8D">
        <w:rPr>
          <w:color w:val="021142"/>
          <w:lang w:val="el-GR"/>
        </w:rPr>
        <w:t xml:space="preserve">% </w:t>
      </w:r>
      <w:r w:rsidR="00623A6B">
        <w:rPr>
          <w:color w:val="021142"/>
          <w:lang w:val="el-GR"/>
        </w:rPr>
        <w:t>σε ετήσια βάση</w:t>
      </w:r>
      <w:r w:rsidR="00623A6B" w:rsidRPr="00950E8F">
        <w:rPr>
          <w:color w:val="021142"/>
          <w:lang w:val="el-GR"/>
        </w:rPr>
        <w:t>.</w:t>
      </w:r>
      <w:r w:rsidR="00623A6B">
        <w:rPr>
          <w:color w:val="021142"/>
          <w:lang w:val="el-GR"/>
        </w:rPr>
        <w:t xml:space="preserve"> </w:t>
      </w:r>
      <w:r w:rsidR="00FB6AC1">
        <w:rPr>
          <w:color w:val="021142"/>
          <w:lang w:val="el-GR"/>
        </w:rPr>
        <w:t xml:space="preserve">Τα </w:t>
      </w:r>
      <w:r w:rsidR="00FB6AC1" w:rsidRPr="0047723F">
        <w:rPr>
          <w:b/>
          <w:bCs/>
          <w:color w:val="021142"/>
          <w:lang w:val="el-GR"/>
        </w:rPr>
        <w:t>συνολικά καθαρά κέρδη</w:t>
      </w:r>
      <w:r w:rsidR="00FB6AC1">
        <w:rPr>
          <w:color w:val="021142"/>
          <w:lang w:val="el-GR"/>
        </w:rPr>
        <w:t xml:space="preserve"> </w:t>
      </w:r>
      <w:r w:rsidR="007E54FF">
        <w:rPr>
          <w:color w:val="021142"/>
          <w:lang w:val="el-GR"/>
        </w:rPr>
        <w:t xml:space="preserve">μειώθηκαν </w:t>
      </w:r>
      <w:r w:rsidR="00A73A65">
        <w:rPr>
          <w:color w:val="021142"/>
          <w:lang w:val="el-GR"/>
        </w:rPr>
        <w:t xml:space="preserve">κατά </w:t>
      </w:r>
      <w:r w:rsidR="007E54FF">
        <w:rPr>
          <w:color w:val="021142"/>
          <w:lang w:val="el-GR"/>
        </w:rPr>
        <w:t>4,3</w:t>
      </w:r>
      <w:r w:rsidR="00A73A65">
        <w:rPr>
          <w:color w:val="021142"/>
          <w:lang w:val="el-GR"/>
        </w:rPr>
        <w:t>% έναντι του Α΄</w:t>
      </w:r>
      <w:r w:rsidR="00B417F5">
        <w:rPr>
          <w:color w:val="021142"/>
          <w:lang w:val="el-GR"/>
        </w:rPr>
        <w:t xml:space="preserve"> Εξαμήνου </w:t>
      </w:r>
      <w:r w:rsidR="00A73A65">
        <w:rPr>
          <w:color w:val="021142"/>
          <w:lang w:val="el-GR"/>
        </w:rPr>
        <w:t>2024 σε €</w:t>
      </w:r>
      <w:r w:rsidR="007E54FF">
        <w:rPr>
          <w:color w:val="021142"/>
          <w:lang w:val="el-GR"/>
        </w:rPr>
        <w:t>691</w:t>
      </w:r>
      <w:r w:rsidR="00A73A65">
        <w:rPr>
          <w:color w:val="021142"/>
          <w:lang w:val="el-GR"/>
        </w:rPr>
        <w:t>εκ</w:t>
      </w:r>
      <w:r w:rsidR="000B2486">
        <w:rPr>
          <w:color w:val="021142"/>
          <w:lang w:val="el-GR"/>
        </w:rPr>
        <w:t>.</w:t>
      </w:r>
      <w:r w:rsidR="00811F15">
        <w:rPr>
          <w:color w:val="021142"/>
          <w:lang w:val="el-GR"/>
        </w:rPr>
        <w:t xml:space="preserve"> και συμπεριλαμβάνουν το κόστος εθελούσιας εξόδου </w:t>
      </w:r>
      <w:r w:rsidR="000B2486">
        <w:rPr>
          <w:color w:val="021142"/>
          <w:lang w:val="el-GR"/>
        </w:rPr>
        <w:t>ύψους</w:t>
      </w:r>
      <w:r w:rsidR="00811F15">
        <w:rPr>
          <w:color w:val="021142"/>
          <w:lang w:val="el-GR"/>
        </w:rPr>
        <w:t xml:space="preserve"> </w:t>
      </w:r>
      <w:r w:rsidR="00811F15" w:rsidRPr="000F5589">
        <w:rPr>
          <w:color w:val="021142"/>
          <w:lang w:val="el-GR"/>
        </w:rPr>
        <w:t>€</w:t>
      </w:r>
      <w:r w:rsidR="002C14DC">
        <w:rPr>
          <w:color w:val="021142"/>
          <w:lang w:val="el-GR"/>
        </w:rPr>
        <w:t>2</w:t>
      </w:r>
      <w:r w:rsidR="002C14DC" w:rsidRPr="00391B5C">
        <w:rPr>
          <w:color w:val="021142"/>
          <w:lang w:val="el-GR"/>
        </w:rPr>
        <w:t>7</w:t>
      </w:r>
      <w:r w:rsidR="002C14DC">
        <w:rPr>
          <w:color w:val="021142"/>
          <w:lang w:val="el-GR"/>
        </w:rPr>
        <w:t>εκ</w:t>
      </w:r>
      <w:r w:rsidR="00811F15" w:rsidRPr="000F5589">
        <w:rPr>
          <w:color w:val="021142"/>
          <w:lang w:val="el-GR"/>
        </w:rPr>
        <w:t>.</w:t>
      </w:r>
      <w:r w:rsidR="00811F15">
        <w:rPr>
          <w:color w:val="021142"/>
          <w:lang w:val="el-GR"/>
        </w:rPr>
        <w:t xml:space="preserve"> στην Ελληνική Τράπεζα και την αρνητική υπεραξία ύψους </w:t>
      </w:r>
      <w:r w:rsidR="000B2486" w:rsidRPr="000F5589">
        <w:rPr>
          <w:color w:val="021142"/>
          <w:lang w:val="el-GR"/>
        </w:rPr>
        <w:t>€</w:t>
      </w:r>
      <w:r w:rsidR="000B2486">
        <w:rPr>
          <w:color w:val="021142"/>
          <w:lang w:val="el-GR"/>
        </w:rPr>
        <w:t>38εκ</w:t>
      </w:r>
      <w:r w:rsidR="000B2486" w:rsidRPr="000F5589">
        <w:rPr>
          <w:color w:val="021142"/>
          <w:lang w:val="el-GR"/>
        </w:rPr>
        <w:t>.</w:t>
      </w:r>
      <w:r w:rsidR="000B2486">
        <w:rPr>
          <w:color w:val="021142"/>
          <w:lang w:val="el-GR"/>
        </w:rPr>
        <w:t xml:space="preserve"> </w:t>
      </w:r>
      <w:r w:rsidR="00796416">
        <w:rPr>
          <w:color w:val="021142"/>
          <w:lang w:val="el-GR"/>
        </w:rPr>
        <w:t xml:space="preserve">από </w:t>
      </w:r>
      <w:r w:rsidR="000B2486">
        <w:rPr>
          <w:color w:val="021142"/>
          <w:lang w:val="el-GR"/>
        </w:rPr>
        <w:t xml:space="preserve">την εξαγορά της </w:t>
      </w:r>
      <w:r w:rsidR="000B2486">
        <w:rPr>
          <w:color w:val="021142"/>
          <w:lang w:val="en-GB"/>
        </w:rPr>
        <w:t>CNP</w:t>
      </w:r>
      <w:r w:rsidR="000B2486" w:rsidRPr="00950E8F">
        <w:rPr>
          <w:color w:val="021142"/>
          <w:lang w:val="el-GR"/>
        </w:rPr>
        <w:t xml:space="preserve"> </w:t>
      </w:r>
      <w:r w:rsidR="00064144">
        <w:rPr>
          <w:color w:val="021142"/>
          <w:lang w:val="en-GB"/>
        </w:rPr>
        <w:t>Cyprus</w:t>
      </w:r>
      <w:r w:rsidR="00064144" w:rsidRPr="00050896">
        <w:rPr>
          <w:color w:val="021142"/>
          <w:lang w:val="el-GR"/>
        </w:rPr>
        <w:t xml:space="preserve"> </w:t>
      </w:r>
      <w:r w:rsidR="000B2486">
        <w:rPr>
          <w:color w:val="021142"/>
          <w:lang w:val="en-GB"/>
        </w:rPr>
        <w:t>Insurance</w:t>
      </w:r>
      <w:r w:rsidR="00A73A65">
        <w:rPr>
          <w:color w:val="021142"/>
          <w:lang w:val="el-GR"/>
        </w:rPr>
        <w:t xml:space="preserve">. </w:t>
      </w:r>
      <w:r w:rsidR="00AD439D">
        <w:rPr>
          <w:color w:val="021142"/>
          <w:lang w:val="el-GR"/>
        </w:rPr>
        <w:t xml:space="preserve">Τα </w:t>
      </w:r>
      <w:r w:rsidR="00AD439D" w:rsidRPr="00971A4C">
        <w:rPr>
          <w:b/>
          <w:bCs/>
          <w:color w:val="021142"/>
          <w:lang w:val="el-GR"/>
        </w:rPr>
        <w:t>κέρδη ανά μετοχή</w:t>
      </w:r>
      <w:r w:rsidR="00AD439D">
        <w:rPr>
          <w:color w:val="021142"/>
          <w:lang w:val="el-GR"/>
        </w:rPr>
        <w:t xml:space="preserve"> </w:t>
      </w:r>
      <w:r w:rsidR="00FB6AC1">
        <w:rPr>
          <w:color w:val="021142"/>
          <w:lang w:val="el-GR"/>
        </w:rPr>
        <w:t xml:space="preserve">και η </w:t>
      </w:r>
      <w:r w:rsidR="00FB6AC1" w:rsidRPr="004D1E8A">
        <w:rPr>
          <w:b/>
          <w:bCs/>
          <w:color w:val="021142"/>
          <w:lang w:val="el-GR"/>
        </w:rPr>
        <w:t>απόδοση των ενσώματων ιδίων κεφαλαίων</w:t>
      </w:r>
      <w:r w:rsidR="00FB6AC1" w:rsidRPr="00AF3914">
        <w:rPr>
          <w:color w:val="021142"/>
          <w:vertAlign w:val="superscript"/>
          <w:lang w:val="el-GR"/>
        </w:rPr>
        <w:t xml:space="preserve"> </w:t>
      </w:r>
      <w:r w:rsidR="00541A0B">
        <w:rPr>
          <w:color w:val="021142"/>
          <w:lang w:val="el-GR"/>
        </w:rPr>
        <w:t>διαμορφώθηκαν</w:t>
      </w:r>
      <w:r w:rsidR="00AD439D">
        <w:rPr>
          <w:color w:val="021142"/>
          <w:lang w:val="el-GR"/>
        </w:rPr>
        <w:t xml:space="preserve"> </w:t>
      </w:r>
      <w:r w:rsidR="00AD439D" w:rsidRPr="00B66B55">
        <w:rPr>
          <w:color w:val="021142"/>
          <w:lang w:val="el-GR"/>
        </w:rPr>
        <w:t>σε €</w:t>
      </w:r>
      <w:r w:rsidR="007E54FF">
        <w:rPr>
          <w:color w:val="021142"/>
          <w:lang w:val="el-GR"/>
        </w:rPr>
        <w:t>0,19</w:t>
      </w:r>
      <w:r w:rsidR="00A71C1B" w:rsidRPr="00CD0CB8">
        <w:rPr>
          <w:color w:val="021142"/>
          <w:vertAlign w:val="superscript"/>
          <w:lang w:val="el-GR"/>
        </w:rPr>
        <w:t xml:space="preserve"> </w:t>
      </w:r>
      <w:r w:rsidR="00AD439D" w:rsidRPr="00CD0CB8">
        <w:rPr>
          <w:color w:val="021142"/>
          <w:lang w:val="el-GR"/>
        </w:rPr>
        <w:t>και</w:t>
      </w:r>
      <w:r w:rsidR="00AD439D" w:rsidRPr="00D615CE">
        <w:rPr>
          <w:color w:val="021142"/>
          <w:lang w:val="el-GR"/>
        </w:rPr>
        <w:t xml:space="preserve"> </w:t>
      </w:r>
      <w:r w:rsidR="007E54FF">
        <w:rPr>
          <w:color w:val="021142"/>
          <w:lang w:val="el-GR"/>
        </w:rPr>
        <w:t>16,6</w:t>
      </w:r>
      <w:r w:rsidR="00AD439D" w:rsidRPr="00D615CE">
        <w:rPr>
          <w:color w:val="021142"/>
          <w:lang w:val="el-GR"/>
        </w:rPr>
        <w:t>%</w:t>
      </w:r>
      <w:r w:rsidR="00FB6AC1" w:rsidRPr="00D615CE">
        <w:rPr>
          <w:color w:val="021142"/>
          <w:lang w:val="el-GR"/>
        </w:rPr>
        <w:t xml:space="preserve"> αντίστοιχα</w:t>
      </w:r>
      <w:r w:rsidR="00623A6B" w:rsidRPr="00950E8F">
        <w:rPr>
          <w:color w:val="021142"/>
          <w:lang w:val="el-GR"/>
        </w:rPr>
        <w:t xml:space="preserve">. </w:t>
      </w:r>
      <w:r w:rsidR="006F7B76" w:rsidRPr="006F7B76">
        <w:rPr>
          <w:color w:val="021142"/>
          <w:lang w:val="el-GR"/>
        </w:rPr>
        <w:t xml:space="preserve"> </w:t>
      </w:r>
    </w:p>
    <w:p w14:paraId="4BD51EC9" w14:textId="77777777" w:rsidR="00403B1C" w:rsidRPr="00403B1C" w:rsidRDefault="00403B1C" w:rsidP="000F5589">
      <w:pPr>
        <w:tabs>
          <w:tab w:val="left" w:pos="660"/>
        </w:tabs>
        <w:spacing w:line="242" w:lineRule="auto"/>
        <w:ind w:right="397"/>
        <w:rPr>
          <w:lang w:val="el-GR"/>
        </w:rPr>
      </w:pPr>
    </w:p>
    <w:p w14:paraId="4A0ADF15" w14:textId="294E5636" w:rsidR="00026243" w:rsidRPr="00950E8F" w:rsidRDefault="005511E3" w:rsidP="000841E4">
      <w:pPr>
        <w:pStyle w:val="ListParagraph"/>
        <w:numPr>
          <w:ilvl w:val="0"/>
          <w:numId w:val="14"/>
        </w:numPr>
        <w:tabs>
          <w:tab w:val="left" w:pos="660"/>
        </w:tabs>
        <w:spacing w:line="242" w:lineRule="auto"/>
        <w:ind w:right="397"/>
        <w:rPr>
          <w:color w:val="021142"/>
          <w:lang w:val="el-GR"/>
        </w:rPr>
      </w:pPr>
      <w:r w:rsidRPr="000F5589">
        <w:rPr>
          <w:color w:val="021142"/>
          <w:lang w:val="el-GR"/>
        </w:rPr>
        <w:t>Οι</w:t>
      </w:r>
      <w:r w:rsidRPr="00950E8F">
        <w:rPr>
          <w:color w:val="021142"/>
          <w:lang w:val="el-GR"/>
        </w:rPr>
        <w:t xml:space="preserve"> </w:t>
      </w:r>
      <w:r w:rsidRPr="003570AB">
        <w:rPr>
          <w:b/>
          <w:bCs/>
          <w:color w:val="021142"/>
          <w:lang w:val="el-GR"/>
        </w:rPr>
        <w:t>δραστηριότητες</w:t>
      </w:r>
      <w:r w:rsidRPr="00950E8F">
        <w:rPr>
          <w:b/>
          <w:bCs/>
          <w:color w:val="021142"/>
          <w:lang w:val="el-GR"/>
        </w:rPr>
        <w:t xml:space="preserve"> </w:t>
      </w:r>
      <w:r w:rsidRPr="003570AB">
        <w:rPr>
          <w:b/>
          <w:bCs/>
          <w:color w:val="021142"/>
          <w:lang w:val="el-GR"/>
        </w:rPr>
        <w:t>στο</w:t>
      </w:r>
      <w:r w:rsidRPr="00950E8F">
        <w:rPr>
          <w:b/>
          <w:bCs/>
          <w:color w:val="021142"/>
          <w:lang w:val="el-GR"/>
        </w:rPr>
        <w:t xml:space="preserve"> </w:t>
      </w:r>
      <w:r w:rsidRPr="003570AB">
        <w:rPr>
          <w:b/>
          <w:bCs/>
          <w:color w:val="021142"/>
          <w:lang w:val="el-GR"/>
        </w:rPr>
        <w:t>εξωτερικό</w:t>
      </w:r>
      <w:r w:rsidRPr="00950E8F">
        <w:rPr>
          <w:color w:val="021142"/>
          <w:lang w:val="el-GR"/>
        </w:rPr>
        <w:t xml:space="preserve"> </w:t>
      </w:r>
      <w:r w:rsidRPr="000F5589">
        <w:rPr>
          <w:color w:val="021142"/>
          <w:lang w:val="el-GR"/>
        </w:rPr>
        <w:t>ήταν</w:t>
      </w:r>
      <w:r w:rsidRPr="00950E8F">
        <w:rPr>
          <w:color w:val="021142"/>
          <w:lang w:val="el-GR"/>
        </w:rPr>
        <w:t xml:space="preserve"> </w:t>
      </w:r>
      <w:r w:rsidRPr="000F5589">
        <w:rPr>
          <w:color w:val="021142"/>
          <w:lang w:val="el-GR"/>
        </w:rPr>
        <w:t>κερδοφόρες</w:t>
      </w:r>
      <w:r w:rsidR="00B417F5">
        <w:rPr>
          <w:color w:val="021142"/>
          <w:lang w:val="el-GR"/>
        </w:rPr>
        <w:t>,</w:t>
      </w:r>
      <w:r w:rsidRPr="00950E8F">
        <w:rPr>
          <w:color w:val="021142"/>
          <w:lang w:val="el-GR"/>
        </w:rPr>
        <w:t xml:space="preserve"> </w:t>
      </w:r>
      <w:r w:rsidRPr="000F5589">
        <w:rPr>
          <w:color w:val="021142"/>
          <w:lang w:val="el-GR"/>
        </w:rPr>
        <w:t>με</w:t>
      </w:r>
      <w:r w:rsidRPr="00950E8F">
        <w:rPr>
          <w:color w:val="021142"/>
          <w:lang w:val="el-GR"/>
        </w:rPr>
        <w:t xml:space="preserve"> </w:t>
      </w:r>
      <w:r w:rsidRPr="000F5589">
        <w:rPr>
          <w:color w:val="021142"/>
          <w:lang w:val="el-GR"/>
        </w:rPr>
        <w:t>τα</w:t>
      </w:r>
      <w:r w:rsidRPr="00950E8F">
        <w:rPr>
          <w:color w:val="021142"/>
          <w:lang w:val="el-GR"/>
        </w:rPr>
        <w:t xml:space="preserve"> </w:t>
      </w:r>
      <w:r w:rsidRPr="003570AB">
        <w:rPr>
          <w:b/>
          <w:bCs/>
          <w:color w:val="021142"/>
          <w:lang w:val="el-GR"/>
        </w:rPr>
        <w:t>προσαρμοσμένα</w:t>
      </w:r>
      <w:r w:rsidRPr="00950E8F">
        <w:rPr>
          <w:b/>
          <w:bCs/>
          <w:color w:val="021142"/>
          <w:lang w:val="el-GR"/>
        </w:rPr>
        <w:t xml:space="preserve"> </w:t>
      </w:r>
      <w:r w:rsidRPr="003570AB">
        <w:rPr>
          <w:b/>
          <w:bCs/>
          <w:color w:val="021142"/>
          <w:lang w:val="el-GR"/>
        </w:rPr>
        <w:t>καθαρά</w:t>
      </w:r>
      <w:r w:rsidRPr="00950E8F">
        <w:rPr>
          <w:b/>
          <w:bCs/>
          <w:color w:val="021142"/>
          <w:lang w:val="el-GR"/>
        </w:rPr>
        <w:t xml:space="preserve"> </w:t>
      </w:r>
      <w:r w:rsidRPr="003570AB">
        <w:rPr>
          <w:b/>
          <w:bCs/>
          <w:color w:val="021142"/>
          <w:lang w:val="el-GR"/>
        </w:rPr>
        <w:t>κέρδη</w:t>
      </w:r>
      <w:r w:rsidRPr="00950E8F">
        <w:rPr>
          <w:color w:val="021142"/>
          <w:lang w:val="el-GR"/>
        </w:rPr>
        <w:t xml:space="preserve"> </w:t>
      </w:r>
      <w:r w:rsidRPr="000F5589">
        <w:rPr>
          <w:color w:val="021142"/>
          <w:lang w:val="el-GR"/>
        </w:rPr>
        <w:t>να</w:t>
      </w:r>
      <w:r w:rsidRPr="00950E8F">
        <w:rPr>
          <w:color w:val="021142"/>
          <w:lang w:val="el-GR"/>
        </w:rPr>
        <w:t xml:space="preserve"> </w:t>
      </w:r>
      <w:r w:rsidR="003A779D" w:rsidRPr="00950E8F">
        <w:rPr>
          <w:color w:val="021142"/>
          <w:lang w:val="el-GR"/>
        </w:rPr>
        <w:t>ενισχύονται</w:t>
      </w:r>
      <w:r w:rsidRPr="00950E8F">
        <w:rPr>
          <w:color w:val="021142"/>
          <w:lang w:val="el-GR"/>
        </w:rPr>
        <w:t xml:space="preserve"> </w:t>
      </w:r>
      <w:r w:rsidR="00814997" w:rsidRPr="00950E8F">
        <w:rPr>
          <w:color w:val="021142"/>
          <w:lang w:val="el-GR"/>
        </w:rPr>
        <w:t xml:space="preserve"> </w:t>
      </w:r>
      <w:r w:rsidR="00C16609" w:rsidRPr="00950E8F">
        <w:rPr>
          <w:color w:val="021142"/>
          <w:lang w:val="el-GR"/>
        </w:rPr>
        <w:t xml:space="preserve">σε ετήσια βάση </w:t>
      </w:r>
      <w:r w:rsidR="00814997" w:rsidRPr="00950E8F">
        <w:rPr>
          <w:color w:val="021142"/>
          <w:lang w:val="el-GR"/>
        </w:rPr>
        <w:t xml:space="preserve">κατά </w:t>
      </w:r>
      <w:r w:rsidR="00811F15" w:rsidRPr="00950E8F">
        <w:rPr>
          <w:color w:val="021142"/>
          <w:lang w:val="el-GR"/>
        </w:rPr>
        <w:t>34,7</w:t>
      </w:r>
      <w:r w:rsidR="00814997" w:rsidRPr="00950E8F">
        <w:rPr>
          <w:color w:val="021142"/>
          <w:lang w:val="el-GR"/>
        </w:rPr>
        <w:t>%</w:t>
      </w:r>
      <w:r w:rsidR="00020F0D" w:rsidRPr="00950E8F">
        <w:rPr>
          <w:color w:val="021142"/>
          <w:lang w:val="el-GR"/>
        </w:rPr>
        <w:t xml:space="preserve"> </w:t>
      </w:r>
      <w:r w:rsidRPr="00950E8F">
        <w:rPr>
          <w:color w:val="021142"/>
          <w:lang w:val="el-GR"/>
        </w:rPr>
        <w:t xml:space="preserve">σε </w:t>
      </w:r>
      <w:r w:rsidR="00D576A5" w:rsidRPr="00950E8F">
        <w:rPr>
          <w:color w:val="021142"/>
          <w:lang w:val="el-GR"/>
        </w:rPr>
        <w:t>€</w:t>
      </w:r>
      <w:r w:rsidR="000B2486" w:rsidRPr="00950E8F">
        <w:rPr>
          <w:color w:val="021142"/>
          <w:lang w:val="el-GR"/>
        </w:rPr>
        <w:t>37</w:t>
      </w:r>
      <w:r w:rsidR="005F4463" w:rsidRPr="005F4463">
        <w:rPr>
          <w:color w:val="021142"/>
          <w:lang w:val="el-GR"/>
        </w:rPr>
        <w:t>4</w:t>
      </w:r>
      <w:r w:rsidRPr="00950E8F">
        <w:rPr>
          <w:color w:val="021142"/>
          <w:lang w:val="el-GR"/>
        </w:rPr>
        <w:t>εκ</w:t>
      </w:r>
      <w:r w:rsidR="006A61D8" w:rsidRPr="00950E8F">
        <w:rPr>
          <w:color w:val="021142"/>
          <w:lang w:val="el-GR"/>
        </w:rPr>
        <w:t>.</w:t>
      </w:r>
      <w:r w:rsidR="006A613B" w:rsidRPr="00950E8F">
        <w:rPr>
          <w:color w:val="021142"/>
          <w:lang w:val="el-GR"/>
        </w:rPr>
        <w:t xml:space="preserve"> το </w:t>
      </w:r>
      <w:r w:rsidR="00D56F06" w:rsidRPr="00950E8F">
        <w:rPr>
          <w:color w:val="021142"/>
          <w:lang w:val="el-GR"/>
        </w:rPr>
        <w:t>Α΄</w:t>
      </w:r>
      <w:r w:rsidR="00B417F5" w:rsidRPr="00950E8F">
        <w:rPr>
          <w:color w:val="021142"/>
          <w:lang w:val="el-GR"/>
        </w:rPr>
        <w:t xml:space="preserve"> Εξάμηνο </w:t>
      </w:r>
      <w:r w:rsidR="00D56F06" w:rsidRPr="00950E8F">
        <w:rPr>
          <w:color w:val="021142"/>
          <w:lang w:val="el-GR"/>
        </w:rPr>
        <w:t>2025</w:t>
      </w:r>
      <w:r w:rsidR="00814997" w:rsidRPr="00950E8F">
        <w:rPr>
          <w:color w:val="021142"/>
          <w:lang w:val="el-GR"/>
        </w:rPr>
        <w:t xml:space="preserve"> </w:t>
      </w:r>
      <w:r w:rsidR="00A04D95">
        <w:rPr>
          <w:color w:val="021142"/>
          <w:lang w:val="el-GR"/>
        </w:rPr>
        <w:t xml:space="preserve">και να συνεισφέρουν </w:t>
      </w:r>
      <w:r w:rsidR="000B2486">
        <w:rPr>
          <w:color w:val="021142"/>
          <w:lang w:val="el-GR"/>
        </w:rPr>
        <w:t>52,</w:t>
      </w:r>
      <w:r w:rsidR="006C0810" w:rsidRPr="00391B5C">
        <w:rPr>
          <w:color w:val="021142"/>
          <w:lang w:val="el-GR"/>
        </w:rPr>
        <w:t>6</w:t>
      </w:r>
      <w:r w:rsidR="00A04D95">
        <w:rPr>
          <w:color w:val="021142"/>
          <w:lang w:val="el-GR"/>
        </w:rPr>
        <w:t>% στη κερδοφορία του Ομίλου</w:t>
      </w:r>
      <w:r w:rsidR="006A61D8" w:rsidRPr="00950E8F">
        <w:rPr>
          <w:color w:val="021142"/>
          <w:lang w:val="el-GR"/>
        </w:rPr>
        <w:t>.</w:t>
      </w:r>
      <w:r w:rsidR="00D576A5" w:rsidRPr="000F5589">
        <w:rPr>
          <w:color w:val="021142"/>
          <w:lang w:val="el-GR"/>
        </w:rPr>
        <w:t xml:space="preserve"> </w:t>
      </w:r>
      <w:r w:rsidR="006A613B">
        <w:rPr>
          <w:color w:val="021142"/>
          <w:lang w:val="el-GR"/>
        </w:rPr>
        <w:t>Ειδικότερα, τ</w:t>
      </w:r>
      <w:r w:rsidR="006A613B" w:rsidRPr="00950E8F">
        <w:rPr>
          <w:color w:val="021142"/>
          <w:lang w:val="el-GR"/>
        </w:rPr>
        <w:t xml:space="preserve">α προσαρμοσμένα καθαρά κέρδη </w:t>
      </w:r>
      <w:r w:rsidR="0049653A" w:rsidRPr="00950E8F">
        <w:rPr>
          <w:color w:val="021142"/>
          <w:lang w:val="el-GR"/>
        </w:rPr>
        <w:t xml:space="preserve">ενισχύθηκαν στην Κύπρο κατά </w:t>
      </w:r>
      <w:r w:rsidR="000B2486" w:rsidRPr="00950E8F">
        <w:rPr>
          <w:color w:val="021142"/>
          <w:lang w:val="el-GR"/>
        </w:rPr>
        <w:t>42,0</w:t>
      </w:r>
      <w:r w:rsidR="0049653A" w:rsidRPr="00950E8F">
        <w:rPr>
          <w:color w:val="021142"/>
          <w:lang w:val="el-GR"/>
        </w:rPr>
        <w:t xml:space="preserve">% </w:t>
      </w:r>
      <w:r w:rsidR="00707FEB" w:rsidRPr="00950E8F">
        <w:rPr>
          <w:color w:val="021142"/>
          <w:lang w:val="el-GR"/>
        </w:rPr>
        <w:t>έναντι του Α΄</w:t>
      </w:r>
      <w:r w:rsidR="00B417F5" w:rsidRPr="00950E8F">
        <w:rPr>
          <w:color w:val="021142"/>
          <w:lang w:val="el-GR"/>
        </w:rPr>
        <w:t xml:space="preserve"> Εξαμήνου </w:t>
      </w:r>
      <w:r w:rsidR="00707FEB" w:rsidRPr="00950E8F">
        <w:rPr>
          <w:color w:val="021142"/>
          <w:lang w:val="el-GR"/>
        </w:rPr>
        <w:t xml:space="preserve">2024 </w:t>
      </w:r>
      <w:r w:rsidR="0049653A" w:rsidRPr="00950E8F">
        <w:rPr>
          <w:color w:val="021142"/>
          <w:lang w:val="el-GR"/>
        </w:rPr>
        <w:t>σε €</w:t>
      </w:r>
      <w:r w:rsidR="000B2486" w:rsidRPr="00950E8F">
        <w:rPr>
          <w:color w:val="021142"/>
          <w:lang w:val="el-GR"/>
        </w:rPr>
        <w:t>250</w:t>
      </w:r>
      <w:r w:rsidR="0049653A" w:rsidRPr="00950E8F">
        <w:rPr>
          <w:color w:val="021142"/>
          <w:lang w:val="el-GR"/>
        </w:rPr>
        <w:t xml:space="preserve">εκ. και </w:t>
      </w:r>
      <w:r w:rsidR="006A613B" w:rsidRPr="00950E8F">
        <w:rPr>
          <w:color w:val="021142"/>
          <w:lang w:val="el-GR"/>
        </w:rPr>
        <w:t xml:space="preserve">στη Βουλγαρία </w:t>
      </w:r>
      <w:r w:rsidR="00B417F5" w:rsidRPr="00950E8F">
        <w:rPr>
          <w:color w:val="021142"/>
          <w:lang w:val="el-GR"/>
        </w:rPr>
        <w:t xml:space="preserve">αυξήθηκαν </w:t>
      </w:r>
      <w:r w:rsidR="006A613B" w:rsidRPr="00950E8F">
        <w:rPr>
          <w:color w:val="021142"/>
          <w:lang w:val="el-GR"/>
        </w:rPr>
        <w:t xml:space="preserve">κατά </w:t>
      </w:r>
      <w:r w:rsidR="000B2486" w:rsidRPr="00950E8F">
        <w:rPr>
          <w:color w:val="021142"/>
          <w:lang w:val="el-GR"/>
        </w:rPr>
        <w:t>10,6</w:t>
      </w:r>
      <w:r w:rsidR="006A613B" w:rsidRPr="00950E8F">
        <w:rPr>
          <w:color w:val="021142"/>
          <w:lang w:val="el-GR"/>
        </w:rPr>
        <w:t>%</w:t>
      </w:r>
      <w:r w:rsidR="00707FEB" w:rsidRPr="00950E8F">
        <w:rPr>
          <w:color w:val="021142"/>
          <w:lang w:val="el-GR"/>
        </w:rPr>
        <w:t xml:space="preserve"> </w:t>
      </w:r>
      <w:r w:rsidR="00B417F5" w:rsidRPr="00950E8F">
        <w:rPr>
          <w:color w:val="021142"/>
          <w:lang w:val="el-GR"/>
        </w:rPr>
        <w:t xml:space="preserve">σε ετήσια βάση </w:t>
      </w:r>
      <w:r w:rsidR="006A613B" w:rsidRPr="00950E8F">
        <w:rPr>
          <w:color w:val="021142"/>
          <w:lang w:val="el-GR"/>
        </w:rPr>
        <w:t>σε €</w:t>
      </w:r>
      <w:r w:rsidR="000B2486" w:rsidRPr="00950E8F">
        <w:rPr>
          <w:color w:val="021142"/>
          <w:lang w:val="el-GR"/>
        </w:rPr>
        <w:t>110</w:t>
      </w:r>
      <w:r w:rsidR="006A613B" w:rsidRPr="00950E8F">
        <w:rPr>
          <w:color w:val="021142"/>
          <w:lang w:val="el-GR"/>
        </w:rPr>
        <w:t>κ.</w:t>
      </w:r>
      <w:r w:rsidR="004B7D9E" w:rsidRPr="00950E8F">
        <w:rPr>
          <w:color w:val="021142"/>
          <w:lang w:val="el-GR"/>
        </w:rPr>
        <w:t xml:space="preserve"> </w:t>
      </w:r>
    </w:p>
    <w:p w14:paraId="1E1D0F35" w14:textId="77777777" w:rsidR="00F920EB" w:rsidRPr="00201E03" w:rsidRDefault="00F920EB" w:rsidP="00F920EB">
      <w:pPr>
        <w:pStyle w:val="ListParagraph"/>
        <w:rPr>
          <w:lang w:val="el-GR"/>
        </w:rPr>
      </w:pPr>
    </w:p>
    <w:p w14:paraId="7367C918" w14:textId="317339A2" w:rsidR="008A4A67" w:rsidRPr="000F5589" w:rsidRDefault="008A4A67" w:rsidP="008A4A67">
      <w:pPr>
        <w:pStyle w:val="ListParagraph"/>
        <w:numPr>
          <w:ilvl w:val="0"/>
          <w:numId w:val="14"/>
        </w:numPr>
        <w:tabs>
          <w:tab w:val="left" w:pos="660"/>
        </w:tabs>
        <w:spacing w:line="242" w:lineRule="auto"/>
        <w:ind w:right="397"/>
        <w:rPr>
          <w:lang w:val="el-GR"/>
        </w:rPr>
      </w:pPr>
      <w:r w:rsidRPr="000F5589">
        <w:rPr>
          <w:color w:val="021142"/>
          <w:lang w:val="el-GR"/>
        </w:rPr>
        <w:t xml:space="preserve">Ο </w:t>
      </w:r>
      <w:r w:rsidRPr="000F5589">
        <w:rPr>
          <w:b/>
          <w:color w:val="021142"/>
          <w:lang w:val="el-GR"/>
        </w:rPr>
        <w:t>δείκτης των</w:t>
      </w:r>
      <w:r>
        <w:rPr>
          <w:b/>
          <w:color w:val="021142"/>
          <w:lang w:val="el-GR"/>
        </w:rPr>
        <w:t xml:space="preserve"> μη εξυπηρετούμενων ανοιγμάτων (</w:t>
      </w:r>
      <w:r w:rsidRPr="000F5589">
        <w:rPr>
          <w:b/>
          <w:color w:val="021142"/>
        </w:rPr>
        <w:t>NPE</w:t>
      </w:r>
      <w:r w:rsidR="001147D2">
        <w:rPr>
          <w:b/>
          <w:color w:val="021142"/>
        </w:rPr>
        <w:t>s</w:t>
      </w:r>
      <w:r>
        <w:rPr>
          <w:b/>
          <w:color w:val="021142"/>
          <w:lang w:val="el-GR"/>
        </w:rPr>
        <w:t>)</w:t>
      </w:r>
      <w:r w:rsidRPr="000F5589">
        <w:rPr>
          <w:b/>
          <w:color w:val="021142"/>
          <w:lang w:val="el-GR"/>
        </w:rPr>
        <w:t xml:space="preserve"> </w:t>
      </w:r>
      <w:r w:rsidR="00A249EB">
        <w:rPr>
          <w:bCs/>
          <w:color w:val="021142"/>
          <w:lang w:val="el-GR"/>
        </w:rPr>
        <w:t>διαμορφώθηκε σε</w:t>
      </w:r>
      <w:r w:rsidR="008F5963" w:rsidRPr="008F5963">
        <w:rPr>
          <w:bCs/>
          <w:color w:val="021142"/>
          <w:lang w:val="el-GR"/>
        </w:rPr>
        <w:t xml:space="preserve"> </w:t>
      </w:r>
      <w:r w:rsidR="005605CB">
        <w:rPr>
          <w:bCs/>
          <w:color w:val="021142"/>
          <w:lang w:val="el-GR"/>
        </w:rPr>
        <w:t>2</w:t>
      </w:r>
      <w:r w:rsidR="008F5963" w:rsidRPr="008F5963">
        <w:rPr>
          <w:bCs/>
          <w:color w:val="021142"/>
          <w:lang w:val="el-GR"/>
        </w:rPr>
        <w:t>,</w:t>
      </w:r>
      <w:r w:rsidR="005605CB">
        <w:rPr>
          <w:bCs/>
          <w:color w:val="021142"/>
          <w:lang w:val="el-GR"/>
        </w:rPr>
        <w:t>8</w:t>
      </w:r>
      <w:r w:rsidRPr="008F5963">
        <w:rPr>
          <w:bCs/>
          <w:color w:val="021142"/>
          <w:spacing w:val="-2"/>
          <w:lang w:val="el-GR"/>
        </w:rPr>
        <w:t>%</w:t>
      </w:r>
      <w:r w:rsidR="00F7431A" w:rsidRPr="00391B5C">
        <w:rPr>
          <w:bCs/>
          <w:color w:val="021142"/>
          <w:spacing w:val="-2"/>
          <w:vertAlign w:val="superscript"/>
          <w:lang w:val="el-GR"/>
        </w:rPr>
        <w:t>4</w:t>
      </w:r>
      <w:r w:rsidR="00573171">
        <w:rPr>
          <w:bCs/>
          <w:color w:val="021142"/>
          <w:lang w:val="el-GR"/>
        </w:rPr>
        <w:t xml:space="preserve"> </w:t>
      </w:r>
      <w:r w:rsidR="00A249EB">
        <w:rPr>
          <w:bCs/>
          <w:color w:val="021142"/>
          <w:lang w:val="el-GR"/>
        </w:rPr>
        <w:t xml:space="preserve"> </w:t>
      </w:r>
      <w:r w:rsidR="000841E4">
        <w:rPr>
          <w:bCs/>
          <w:color w:val="021142"/>
          <w:lang w:val="el-GR"/>
        </w:rPr>
        <w:t xml:space="preserve">και </w:t>
      </w:r>
      <w:r w:rsidR="00573171">
        <w:rPr>
          <w:bCs/>
          <w:color w:val="021142"/>
          <w:lang w:val="el-GR"/>
        </w:rPr>
        <w:t xml:space="preserve">η </w:t>
      </w:r>
      <w:r w:rsidRPr="000F5589">
        <w:rPr>
          <w:b/>
          <w:color w:val="021142"/>
          <w:lang w:val="el-GR"/>
        </w:rPr>
        <w:t xml:space="preserve">κάλυψη των </w:t>
      </w:r>
      <w:r w:rsidRPr="000F5589">
        <w:rPr>
          <w:b/>
          <w:color w:val="021142"/>
          <w:spacing w:val="-50"/>
          <w:lang w:val="el-GR"/>
        </w:rPr>
        <w:t xml:space="preserve"> </w:t>
      </w:r>
      <w:r w:rsidRPr="000F5589">
        <w:rPr>
          <w:b/>
          <w:color w:val="021142"/>
        </w:rPr>
        <w:t>NPE</w:t>
      </w:r>
      <w:r w:rsidR="001147D2">
        <w:rPr>
          <w:b/>
          <w:color w:val="021142"/>
        </w:rPr>
        <w:t>s</w:t>
      </w:r>
      <w:r w:rsidRPr="000F5589">
        <w:rPr>
          <w:b/>
          <w:color w:val="021142"/>
          <w:spacing w:val="7"/>
          <w:lang w:val="el-GR"/>
        </w:rPr>
        <w:t xml:space="preserve"> </w:t>
      </w:r>
      <w:r w:rsidRPr="000F5589">
        <w:rPr>
          <w:color w:val="021142"/>
          <w:lang w:val="el-GR"/>
        </w:rPr>
        <w:t>από</w:t>
      </w:r>
      <w:r w:rsidRPr="000F5589">
        <w:rPr>
          <w:color w:val="021142"/>
          <w:spacing w:val="6"/>
          <w:lang w:val="el-GR"/>
        </w:rPr>
        <w:t xml:space="preserve"> </w:t>
      </w:r>
      <w:r w:rsidRPr="000F5589">
        <w:rPr>
          <w:color w:val="021142"/>
          <w:lang w:val="el-GR"/>
        </w:rPr>
        <w:t>τις</w:t>
      </w:r>
      <w:r w:rsidRPr="000F5589">
        <w:rPr>
          <w:color w:val="021142"/>
          <w:spacing w:val="6"/>
          <w:lang w:val="el-GR"/>
        </w:rPr>
        <w:t xml:space="preserve"> </w:t>
      </w:r>
      <w:r w:rsidRPr="000F5589">
        <w:rPr>
          <w:color w:val="021142"/>
          <w:lang w:val="el-GR"/>
        </w:rPr>
        <w:t>σωρευτικές</w:t>
      </w:r>
      <w:r w:rsidRPr="000F5589">
        <w:rPr>
          <w:color w:val="021142"/>
          <w:spacing w:val="6"/>
          <w:lang w:val="el-GR"/>
        </w:rPr>
        <w:t xml:space="preserve"> </w:t>
      </w:r>
      <w:r>
        <w:rPr>
          <w:color w:val="021142"/>
          <w:spacing w:val="6"/>
          <w:lang w:val="el-GR"/>
        </w:rPr>
        <w:t xml:space="preserve">προβλέψεις </w:t>
      </w:r>
      <w:r w:rsidR="00234162">
        <w:rPr>
          <w:color w:val="021142"/>
          <w:spacing w:val="6"/>
          <w:lang w:val="el-GR"/>
        </w:rPr>
        <w:t>σε</w:t>
      </w:r>
      <w:r>
        <w:rPr>
          <w:color w:val="021142"/>
          <w:lang w:val="el-GR"/>
        </w:rPr>
        <w:t xml:space="preserve"> </w:t>
      </w:r>
      <w:r w:rsidR="005605CB">
        <w:rPr>
          <w:color w:val="021142"/>
          <w:lang w:val="el-GR"/>
        </w:rPr>
        <w:t>92,8</w:t>
      </w:r>
      <w:r w:rsidR="00D72AE3">
        <w:rPr>
          <w:color w:val="021142"/>
          <w:lang w:val="el-GR"/>
        </w:rPr>
        <w:t>%</w:t>
      </w:r>
      <w:r w:rsidR="00F7431A" w:rsidRPr="00391B5C">
        <w:rPr>
          <w:color w:val="021142"/>
          <w:vertAlign w:val="superscript"/>
          <w:lang w:val="el-GR"/>
        </w:rPr>
        <w:t>5</w:t>
      </w:r>
      <w:r w:rsidR="00190A52">
        <w:rPr>
          <w:color w:val="021142"/>
          <w:vertAlign w:val="superscript"/>
          <w:lang w:val="el-GR"/>
        </w:rPr>
        <w:t xml:space="preserve"> </w:t>
      </w:r>
      <w:r w:rsidR="00AC5F8D">
        <w:rPr>
          <w:bCs/>
          <w:color w:val="021142"/>
          <w:lang w:val="el-GR"/>
        </w:rPr>
        <w:t xml:space="preserve"> στις 30 Ιουνίου 2025</w:t>
      </w:r>
      <w:r w:rsidR="000841E4">
        <w:rPr>
          <w:bCs/>
          <w:color w:val="021142"/>
          <w:lang w:val="el-GR"/>
        </w:rPr>
        <w:t>.</w:t>
      </w:r>
    </w:p>
    <w:p w14:paraId="6F9A8F28" w14:textId="77777777" w:rsidR="00F920EB" w:rsidRPr="00391B5C" w:rsidRDefault="00F920EB" w:rsidP="00F920EB">
      <w:pPr>
        <w:pStyle w:val="ListParagraph"/>
        <w:tabs>
          <w:tab w:val="left" w:pos="660"/>
        </w:tabs>
        <w:spacing w:line="242" w:lineRule="auto"/>
        <w:ind w:left="720" w:right="397"/>
        <w:rPr>
          <w:lang w:val="el-GR"/>
        </w:rPr>
      </w:pPr>
    </w:p>
    <w:p w14:paraId="7A68AAD6" w14:textId="77777777" w:rsidR="00F7431A" w:rsidRPr="00E84D07" w:rsidRDefault="00F7431A" w:rsidP="00F920EB">
      <w:pPr>
        <w:pStyle w:val="ListParagraph"/>
        <w:tabs>
          <w:tab w:val="left" w:pos="660"/>
        </w:tabs>
        <w:spacing w:line="242" w:lineRule="auto"/>
        <w:ind w:left="720" w:right="397"/>
        <w:rPr>
          <w:lang w:val="el-GR"/>
        </w:rPr>
      </w:pPr>
    </w:p>
    <w:p w14:paraId="7E5ABFC6" w14:textId="77777777" w:rsidR="005B0018" w:rsidRPr="00E84D07" w:rsidRDefault="005B0018" w:rsidP="00F920EB">
      <w:pPr>
        <w:pStyle w:val="ListParagraph"/>
        <w:tabs>
          <w:tab w:val="left" w:pos="660"/>
        </w:tabs>
        <w:spacing w:line="242" w:lineRule="auto"/>
        <w:ind w:left="720" w:right="397"/>
        <w:rPr>
          <w:lang w:val="el-GR"/>
        </w:rPr>
      </w:pPr>
    </w:p>
    <w:p w14:paraId="6207E11C" w14:textId="77777777" w:rsidR="006F607C" w:rsidRPr="00C6706F" w:rsidRDefault="006F607C" w:rsidP="00F920EB">
      <w:pPr>
        <w:pStyle w:val="ListParagraph"/>
        <w:tabs>
          <w:tab w:val="left" w:pos="660"/>
        </w:tabs>
        <w:spacing w:line="242" w:lineRule="auto"/>
        <w:ind w:left="720" w:right="397"/>
        <w:rPr>
          <w:lang w:val="el-GR"/>
        </w:rPr>
      </w:pPr>
    </w:p>
    <w:p w14:paraId="16EFDA78" w14:textId="77777777" w:rsidR="00435D86" w:rsidRPr="00C6706F" w:rsidRDefault="00435D86" w:rsidP="00F920EB">
      <w:pPr>
        <w:pStyle w:val="ListParagraph"/>
        <w:tabs>
          <w:tab w:val="left" w:pos="660"/>
        </w:tabs>
        <w:spacing w:line="242" w:lineRule="auto"/>
        <w:ind w:left="720" w:right="397"/>
        <w:rPr>
          <w:lang w:val="el-GR"/>
        </w:rPr>
      </w:pPr>
    </w:p>
    <w:p w14:paraId="42C61AEE" w14:textId="77777777" w:rsidR="00435D86" w:rsidRPr="00C6706F" w:rsidRDefault="00435D86" w:rsidP="00F920EB">
      <w:pPr>
        <w:pStyle w:val="ListParagraph"/>
        <w:tabs>
          <w:tab w:val="left" w:pos="660"/>
        </w:tabs>
        <w:spacing w:line="242" w:lineRule="auto"/>
        <w:ind w:left="720" w:right="397"/>
        <w:rPr>
          <w:lang w:val="el-GR"/>
        </w:rPr>
      </w:pPr>
    </w:p>
    <w:p w14:paraId="45266CF8" w14:textId="77777777" w:rsidR="00435D86" w:rsidRPr="00C6706F" w:rsidRDefault="00435D86" w:rsidP="00F920EB">
      <w:pPr>
        <w:pStyle w:val="ListParagraph"/>
        <w:tabs>
          <w:tab w:val="left" w:pos="660"/>
        </w:tabs>
        <w:spacing w:line="242" w:lineRule="auto"/>
        <w:ind w:left="720" w:right="397"/>
        <w:rPr>
          <w:lang w:val="el-GR"/>
        </w:rPr>
      </w:pPr>
    </w:p>
    <w:p w14:paraId="285AE6FA" w14:textId="77777777" w:rsidR="00435D86" w:rsidRPr="00C6706F" w:rsidRDefault="00435D86" w:rsidP="00F920EB">
      <w:pPr>
        <w:pStyle w:val="ListParagraph"/>
        <w:tabs>
          <w:tab w:val="left" w:pos="660"/>
        </w:tabs>
        <w:spacing w:line="242" w:lineRule="auto"/>
        <w:ind w:left="720" w:right="397"/>
        <w:rPr>
          <w:lang w:val="el-GR"/>
        </w:rPr>
      </w:pPr>
    </w:p>
    <w:p w14:paraId="5768E2DC" w14:textId="77777777" w:rsidR="00435D86" w:rsidRPr="00C6706F" w:rsidRDefault="00435D86" w:rsidP="00F920EB">
      <w:pPr>
        <w:pStyle w:val="ListParagraph"/>
        <w:tabs>
          <w:tab w:val="left" w:pos="660"/>
        </w:tabs>
        <w:spacing w:line="242" w:lineRule="auto"/>
        <w:ind w:left="720" w:right="397"/>
        <w:rPr>
          <w:lang w:val="el-GR"/>
        </w:rPr>
      </w:pPr>
    </w:p>
    <w:p w14:paraId="7A5DF797" w14:textId="77777777" w:rsidR="00435D86" w:rsidRPr="00C6706F" w:rsidRDefault="00435D86" w:rsidP="00F920EB">
      <w:pPr>
        <w:pStyle w:val="ListParagraph"/>
        <w:tabs>
          <w:tab w:val="left" w:pos="660"/>
        </w:tabs>
        <w:spacing w:line="242" w:lineRule="auto"/>
        <w:ind w:left="720" w:right="397"/>
        <w:rPr>
          <w:lang w:val="el-GR"/>
        </w:rPr>
      </w:pPr>
    </w:p>
    <w:p w14:paraId="7A4B1CC0" w14:textId="77777777" w:rsidR="00435D86" w:rsidRPr="00C6706F" w:rsidRDefault="00435D86" w:rsidP="00F920EB">
      <w:pPr>
        <w:pStyle w:val="ListParagraph"/>
        <w:tabs>
          <w:tab w:val="left" w:pos="660"/>
        </w:tabs>
        <w:spacing w:line="242" w:lineRule="auto"/>
        <w:ind w:left="720" w:right="397"/>
        <w:rPr>
          <w:lang w:val="el-GR"/>
        </w:rPr>
      </w:pPr>
    </w:p>
    <w:p w14:paraId="4CADC79E" w14:textId="77777777" w:rsidR="00EA2E24" w:rsidRPr="00E84D07" w:rsidRDefault="00EA2E24" w:rsidP="00F920EB">
      <w:pPr>
        <w:pStyle w:val="ListParagraph"/>
        <w:tabs>
          <w:tab w:val="left" w:pos="660"/>
        </w:tabs>
        <w:spacing w:line="242" w:lineRule="auto"/>
        <w:ind w:left="720" w:right="397"/>
        <w:rPr>
          <w:lang w:val="el-GR"/>
        </w:rPr>
      </w:pPr>
    </w:p>
    <w:p w14:paraId="2FB36EA7" w14:textId="77777777" w:rsidR="005B0018" w:rsidRPr="00E84D07" w:rsidRDefault="005B0018" w:rsidP="00F920EB">
      <w:pPr>
        <w:pStyle w:val="ListParagraph"/>
        <w:tabs>
          <w:tab w:val="left" w:pos="660"/>
        </w:tabs>
        <w:spacing w:line="242" w:lineRule="auto"/>
        <w:ind w:left="720" w:right="397"/>
        <w:rPr>
          <w:lang w:val="el-GR"/>
        </w:rPr>
      </w:pPr>
    </w:p>
    <w:p w14:paraId="37CB1424" w14:textId="75901103" w:rsidR="00F7431A" w:rsidRPr="0038746B" w:rsidRDefault="0017074C" w:rsidP="00F7431A">
      <w:pPr>
        <w:ind w:left="260" w:right="340"/>
        <w:jc w:val="both"/>
        <w:rPr>
          <w:color w:val="021142"/>
          <w:sz w:val="14"/>
          <w:szCs w:val="14"/>
          <w:lang w:val="el-GR"/>
        </w:rPr>
      </w:pPr>
      <w:r w:rsidRPr="00E84D07">
        <w:rPr>
          <w:color w:val="021142"/>
          <w:sz w:val="14"/>
          <w:szCs w:val="14"/>
          <w:lang w:val="el-GR"/>
        </w:rPr>
        <w:t>4</w:t>
      </w:r>
      <w:r w:rsidR="00F7431A" w:rsidRPr="00361295">
        <w:rPr>
          <w:color w:val="021142"/>
          <w:sz w:val="14"/>
          <w:szCs w:val="14"/>
          <w:lang w:val="el-GR"/>
        </w:rPr>
        <w:t xml:space="preserve"> </w:t>
      </w:r>
      <w:r w:rsidR="00F7431A" w:rsidRPr="0038746B">
        <w:rPr>
          <w:color w:val="021142"/>
          <w:sz w:val="14"/>
          <w:szCs w:val="14"/>
          <w:lang w:val="el-GR"/>
        </w:rPr>
        <w:t xml:space="preserve">Εξαιρουμένων των </w:t>
      </w:r>
      <w:r w:rsidR="00F7431A" w:rsidRPr="00361295">
        <w:rPr>
          <w:color w:val="021142"/>
          <w:sz w:val="14"/>
          <w:szCs w:val="14"/>
          <w:lang w:val="el-GR"/>
        </w:rPr>
        <w:t>NPE</w:t>
      </w:r>
      <w:r w:rsidR="00F7431A" w:rsidRPr="0038746B">
        <w:rPr>
          <w:color w:val="021142"/>
          <w:sz w:val="14"/>
          <w:szCs w:val="14"/>
          <w:lang w:val="el-GR"/>
        </w:rPr>
        <w:t xml:space="preserve"> της Ελληνικής Τράπεζας που καλύπτονται από το Πρόγραμμα Προστασίας Περιουσιακών Στοιχείων.</w:t>
      </w:r>
    </w:p>
    <w:p w14:paraId="04D07B34" w14:textId="5C132EC0" w:rsidR="00F7431A" w:rsidRPr="0038746B" w:rsidRDefault="0017074C" w:rsidP="00F7431A">
      <w:pPr>
        <w:ind w:left="260" w:right="340"/>
        <w:jc w:val="both"/>
        <w:rPr>
          <w:color w:val="021142"/>
          <w:sz w:val="14"/>
          <w:szCs w:val="14"/>
          <w:lang w:val="el-GR"/>
        </w:rPr>
      </w:pPr>
      <w:r w:rsidRPr="00E84D07">
        <w:rPr>
          <w:color w:val="021142"/>
          <w:sz w:val="14"/>
          <w:szCs w:val="14"/>
          <w:lang w:val="el-GR"/>
        </w:rPr>
        <w:t>5</w:t>
      </w:r>
      <w:r w:rsidR="00F7431A" w:rsidRPr="00B55766">
        <w:rPr>
          <w:color w:val="021142"/>
          <w:sz w:val="14"/>
          <w:szCs w:val="14"/>
          <w:lang w:val="el-GR"/>
        </w:rPr>
        <w:t xml:space="preserve"> </w:t>
      </w:r>
      <w:r w:rsidR="00F7431A" w:rsidRPr="0038746B">
        <w:rPr>
          <w:color w:val="021142"/>
          <w:sz w:val="14"/>
          <w:szCs w:val="14"/>
          <w:lang w:val="el-GR"/>
        </w:rPr>
        <w:t xml:space="preserve">Εξαιρουμένων των </w:t>
      </w:r>
      <w:r w:rsidR="00F7431A" w:rsidRPr="00361295">
        <w:rPr>
          <w:color w:val="021142"/>
          <w:sz w:val="14"/>
          <w:szCs w:val="14"/>
          <w:lang w:val="el-GR"/>
        </w:rPr>
        <w:t>NPE</w:t>
      </w:r>
      <w:r w:rsidR="00F7431A" w:rsidRPr="0038746B">
        <w:rPr>
          <w:color w:val="021142"/>
          <w:sz w:val="14"/>
          <w:szCs w:val="14"/>
          <w:lang w:val="el-GR"/>
        </w:rPr>
        <w:t xml:space="preserve"> της Ελληνικής Τράπεζας που καλύπτονται από το Πρόγραμμα Προστασίας Περιουσιακών Στοιχείων και των αντίστοιχων προβλέψεων.</w:t>
      </w:r>
    </w:p>
    <w:p w14:paraId="2E6C4E77" w14:textId="77777777" w:rsidR="00F7431A" w:rsidRPr="00662765" w:rsidRDefault="00F7431A" w:rsidP="00F920EB">
      <w:pPr>
        <w:pStyle w:val="ListParagraph"/>
        <w:tabs>
          <w:tab w:val="left" w:pos="660"/>
        </w:tabs>
        <w:spacing w:line="242" w:lineRule="auto"/>
        <w:ind w:left="720" w:right="397"/>
        <w:rPr>
          <w:lang w:val="el-GR"/>
        </w:rPr>
      </w:pPr>
    </w:p>
    <w:p w14:paraId="5E18CAB0" w14:textId="77777777" w:rsidR="001058C5" w:rsidRPr="00662765" w:rsidRDefault="001058C5" w:rsidP="00F920EB">
      <w:pPr>
        <w:pStyle w:val="ListParagraph"/>
        <w:tabs>
          <w:tab w:val="left" w:pos="660"/>
        </w:tabs>
        <w:spacing w:line="242" w:lineRule="auto"/>
        <w:ind w:left="720" w:right="397"/>
        <w:rPr>
          <w:lang w:val="el-GR"/>
        </w:rPr>
      </w:pPr>
    </w:p>
    <w:p w14:paraId="380A0E05" w14:textId="77777777" w:rsidR="001058C5" w:rsidRPr="00662765" w:rsidRDefault="001058C5" w:rsidP="00F920EB">
      <w:pPr>
        <w:pStyle w:val="ListParagraph"/>
        <w:tabs>
          <w:tab w:val="left" w:pos="660"/>
        </w:tabs>
        <w:spacing w:line="242" w:lineRule="auto"/>
        <w:ind w:left="720" w:right="397"/>
        <w:rPr>
          <w:lang w:val="el-GR"/>
        </w:rPr>
      </w:pPr>
    </w:p>
    <w:p w14:paraId="3196B021" w14:textId="77777777" w:rsidR="001058C5" w:rsidRPr="00662765" w:rsidRDefault="001058C5" w:rsidP="00F920EB">
      <w:pPr>
        <w:pStyle w:val="ListParagraph"/>
        <w:tabs>
          <w:tab w:val="left" w:pos="660"/>
        </w:tabs>
        <w:spacing w:line="242" w:lineRule="auto"/>
        <w:ind w:left="720" w:right="397"/>
        <w:rPr>
          <w:lang w:val="el-GR"/>
        </w:rPr>
      </w:pPr>
    </w:p>
    <w:p w14:paraId="041B233E" w14:textId="77777777" w:rsidR="00B36593" w:rsidRPr="00662765" w:rsidRDefault="00B36593" w:rsidP="00F920EB">
      <w:pPr>
        <w:pStyle w:val="ListParagraph"/>
        <w:tabs>
          <w:tab w:val="left" w:pos="660"/>
        </w:tabs>
        <w:spacing w:line="242" w:lineRule="auto"/>
        <w:ind w:left="720" w:right="397"/>
        <w:rPr>
          <w:lang w:val="el-GR"/>
        </w:rPr>
      </w:pPr>
    </w:p>
    <w:p w14:paraId="61B1C3C1" w14:textId="77777777" w:rsidR="00F7431A" w:rsidRPr="00F7431A" w:rsidRDefault="00F7431A" w:rsidP="00F920EB">
      <w:pPr>
        <w:pStyle w:val="ListParagraph"/>
        <w:tabs>
          <w:tab w:val="left" w:pos="660"/>
        </w:tabs>
        <w:spacing w:line="242" w:lineRule="auto"/>
        <w:ind w:left="720" w:right="397"/>
        <w:rPr>
          <w:lang w:val="el-GR"/>
        </w:rPr>
      </w:pPr>
    </w:p>
    <w:p w14:paraId="43BFFF4F" w14:textId="444796AE" w:rsidR="00020F0D" w:rsidRDefault="00020F0D" w:rsidP="00020F0D">
      <w:pPr>
        <w:pStyle w:val="ListParagraph"/>
        <w:numPr>
          <w:ilvl w:val="0"/>
          <w:numId w:val="14"/>
        </w:numPr>
        <w:tabs>
          <w:tab w:val="left" w:pos="691"/>
        </w:tabs>
        <w:spacing w:line="247" w:lineRule="auto"/>
        <w:ind w:right="397"/>
        <w:rPr>
          <w:color w:val="021142"/>
          <w:lang w:val="el-GR"/>
        </w:rPr>
      </w:pPr>
      <w:r>
        <w:rPr>
          <w:color w:val="021142"/>
          <w:lang w:val="el-GR"/>
        </w:rPr>
        <w:t xml:space="preserve">Η κεφαλαιακή επάρκεια διατηρήθηκε σε ισχυρά επίπεδα, με τον </w:t>
      </w:r>
      <w:r>
        <w:rPr>
          <w:b/>
          <w:color w:val="021142"/>
          <w:lang w:val="el-GR"/>
        </w:rPr>
        <w:t>δείκτη</w:t>
      </w:r>
      <w:r w:rsidRPr="000F5589">
        <w:rPr>
          <w:b/>
          <w:color w:val="021142"/>
          <w:spacing w:val="-7"/>
          <w:lang w:val="el-GR"/>
        </w:rPr>
        <w:t xml:space="preserve"> </w:t>
      </w:r>
      <w:r w:rsidRPr="00A53710">
        <w:rPr>
          <w:b/>
          <w:color w:val="021142"/>
          <w:lang w:val="el-GR"/>
        </w:rPr>
        <w:t>συνολικής</w:t>
      </w:r>
      <w:r w:rsidRPr="00A53710">
        <w:rPr>
          <w:b/>
          <w:color w:val="021142"/>
          <w:spacing w:val="-8"/>
          <w:lang w:val="el-GR"/>
        </w:rPr>
        <w:t xml:space="preserve"> </w:t>
      </w:r>
      <w:r w:rsidRPr="00A53710">
        <w:rPr>
          <w:b/>
          <w:color w:val="021142"/>
          <w:lang w:val="el-GR"/>
        </w:rPr>
        <w:t>επάρκειας</w:t>
      </w:r>
      <w:r w:rsidRPr="00A53710">
        <w:rPr>
          <w:b/>
          <w:color w:val="021142"/>
          <w:spacing w:val="-8"/>
          <w:lang w:val="el-GR"/>
        </w:rPr>
        <w:t xml:space="preserve"> </w:t>
      </w:r>
      <w:r w:rsidRPr="00A53710">
        <w:rPr>
          <w:color w:val="021142"/>
          <w:lang w:val="el-GR"/>
        </w:rPr>
        <w:t>(</w:t>
      </w:r>
      <w:r w:rsidRPr="00A53710">
        <w:rPr>
          <w:color w:val="021142"/>
        </w:rPr>
        <w:t>CAD</w:t>
      </w:r>
      <w:r w:rsidRPr="00A53710">
        <w:rPr>
          <w:color w:val="021142"/>
          <w:lang w:val="el-GR"/>
        </w:rPr>
        <w:t>)</w:t>
      </w:r>
      <w:r>
        <w:rPr>
          <w:color w:val="021142"/>
          <w:lang w:val="el-GR"/>
        </w:rPr>
        <w:t xml:space="preserve"> </w:t>
      </w:r>
      <w:r w:rsidRPr="00A53710">
        <w:rPr>
          <w:color w:val="021142"/>
          <w:lang w:val="el-GR"/>
        </w:rPr>
        <w:t xml:space="preserve">και </w:t>
      </w:r>
      <w:r>
        <w:rPr>
          <w:color w:val="021142"/>
          <w:lang w:val="el-GR"/>
        </w:rPr>
        <w:t>τ</w:t>
      </w:r>
      <w:r w:rsidRPr="00A53710">
        <w:rPr>
          <w:color w:val="021142"/>
          <w:lang w:val="el-GR"/>
        </w:rPr>
        <w:t>ο</w:t>
      </w:r>
      <w:r>
        <w:rPr>
          <w:color w:val="021142"/>
          <w:lang w:val="el-GR"/>
        </w:rPr>
        <w:t>ν</w:t>
      </w:r>
      <w:r w:rsidRPr="00A53710">
        <w:rPr>
          <w:color w:val="021142"/>
          <w:lang w:val="el-GR"/>
        </w:rPr>
        <w:t xml:space="preserve"> δείκτη</w:t>
      </w:r>
      <w:r>
        <w:rPr>
          <w:color w:val="021142"/>
          <w:lang w:val="el-GR"/>
        </w:rPr>
        <w:t xml:space="preserve"> κοινών μετοχών</w:t>
      </w:r>
      <w:r w:rsidRPr="00A53710">
        <w:rPr>
          <w:color w:val="021142"/>
          <w:spacing w:val="-8"/>
          <w:lang w:val="el-GR"/>
        </w:rPr>
        <w:t xml:space="preserve"> </w:t>
      </w:r>
      <w:r w:rsidRPr="00A53710">
        <w:rPr>
          <w:b/>
          <w:color w:val="021142"/>
        </w:rPr>
        <w:t>CET</w:t>
      </w:r>
      <w:r w:rsidRPr="00A53710">
        <w:rPr>
          <w:b/>
          <w:color w:val="021142"/>
          <w:lang w:val="el-GR"/>
        </w:rPr>
        <w:t>1</w:t>
      </w:r>
      <w:r w:rsidRPr="00A53710">
        <w:rPr>
          <w:b/>
          <w:color w:val="021142"/>
          <w:spacing w:val="-8"/>
          <w:lang w:val="el-GR"/>
        </w:rPr>
        <w:t xml:space="preserve"> </w:t>
      </w:r>
      <w:r>
        <w:rPr>
          <w:color w:val="021142"/>
          <w:lang w:val="el-GR"/>
        </w:rPr>
        <w:t>να διαμορφώνονται σε</w:t>
      </w:r>
      <w:r w:rsidRPr="00A53710">
        <w:rPr>
          <w:color w:val="021142"/>
          <w:spacing w:val="-7"/>
          <w:lang w:val="el-GR"/>
        </w:rPr>
        <w:t xml:space="preserve"> </w:t>
      </w:r>
      <w:r w:rsidR="00072A4B">
        <w:rPr>
          <w:color w:val="021142"/>
          <w:spacing w:val="-7"/>
          <w:lang w:val="el-GR"/>
        </w:rPr>
        <w:t>19,8</w:t>
      </w:r>
      <w:r>
        <w:rPr>
          <w:color w:val="021142"/>
          <w:lang w:val="el-GR"/>
        </w:rPr>
        <w:t>%</w:t>
      </w:r>
      <w:r w:rsidR="0017074C" w:rsidRPr="00E84D07">
        <w:rPr>
          <w:color w:val="021142"/>
          <w:vertAlign w:val="superscript"/>
          <w:lang w:val="el-GR"/>
        </w:rPr>
        <w:t>6</w:t>
      </w:r>
      <w:r>
        <w:rPr>
          <w:color w:val="021142"/>
          <w:lang w:val="el-GR"/>
        </w:rPr>
        <w:t xml:space="preserve"> και </w:t>
      </w:r>
      <w:r w:rsidR="00072A4B">
        <w:rPr>
          <w:color w:val="021142"/>
          <w:lang w:val="el-GR"/>
        </w:rPr>
        <w:t>15,5</w:t>
      </w:r>
      <w:r>
        <w:rPr>
          <w:color w:val="021142"/>
          <w:lang w:val="el-GR"/>
        </w:rPr>
        <w:t>%</w:t>
      </w:r>
      <w:r w:rsidR="000A2ACD" w:rsidRPr="00C87647">
        <w:rPr>
          <w:color w:val="021142"/>
          <w:vertAlign w:val="superscript"/>
          <w:lang w:val="el-GR"/>
        </w:rPr>
        <w:t>6</w:t>
      </w:r>
      <w:r>
        <w:rPr>
          <w:color w:val="021142"/>
          <w:lang w:val="el-GR"/>
        </w:rPr>
        <w:t xml:space="preserve"> αντίστοιχα. </w:t>
      </w:r>
    </w:p>
    <w:p w14:paraId="4BC45CA3" w14:textId="77777777" w:rsidR="00A249EB" w:rsidRDefault="00A249EB" w:rsidP="00F920EB">
      <w:pPr>
        <w:pStyle w:val="ListParagraph"/>
        <w:tabs>
          <w:tab w:val="left" w:pos="660"/>
        </w:tabs>
        <w:spacing w:line="242" w:lineRule="auto"/>
        <w:ind w:left="720" w:right="397"/>
        <w:rPr>
          <w:lang w:val="el-GR"/>
        </w:rPr>
      </w:pPr>
    </w:p>
    <w:p w14:paraId="5BECACEA" w14:textId="7EC36AB5" w:rsidR="00744572" w:rsidRPr="007C41E4" w:rsidRDefault="00744572" w:rsidP="00EE2D46">
      <w:pPr>
        <w:pStyle w:val="ListParagraph"/>
        <w:numPr>
          <w:ilvl w:val="0"/>
          <w:numId w:val="14"/>
        </w:numPr>
        <w:tabs>
          <w:tab w:val="left" w:pos="691"/>
        </w:tabs>
        <w:spacing w:line="247" w:lineRule="auto"/>
        <w:ind w:right="397"/>
        <w:rPr>
          <w:color w:val="021142"/>
          <w:spacing w:val="-1"/>
          <w:lang w:val="el-GR"/>
        </w:rPr>
      </w:pPr>
      <w:r w:rsidRPr="00026549">
        <w:rPr>
          <w:color w:val="021142"/>
          <w:lang w:val="el-GR"/>
        </w:rPr>
        <w:t xml:space="preserve">Τα </w:t>
      </w:r>
      <w:r w:rsidRPr="00026549">
        <w:rPr>
          <w:b/>
          <w:bCs/>
          <w:color w:val="021142"/>
          <w:lang w:val="el-GR"/>
        </w:rPr>
        <w:t>ενσώματα ίδια κεφάλαια</w:t>
      </w:r>
      <w:r w:rsidRPr="00026549">
        <w:rPr>
          <w:color w:val="021142"/>
          <w:lang w:val="el-GR"/>
        </w:rPr>
        <w:t xml:space="preserve"> </w:t>
      </w:r>
      <w:r w:rsidRPr="00026549">
        <w:rPr>
          <w:b/>
          <w:bCs/>
          <w:color w:val="021142"/>
          <w:lang w:val="el-GR"/>
        </w:rPr>
        <w:t>ανά μετοχή</w:t>
      </w:r>
      <w:r w:rsidRPr="00026549">
        <w:rPr>
          <w:color w:val="021142"/>
          <w:lang w:val="el-GR"/>
        </w:rPr>
        <w:t xml:space="preserve"> </w:t>
      </w:r>
      <w:r w:rsidR="00234162" w:rsidRPr="00026549">
        <w:rPr>
          <w:color w:val="021142"/>
          <w:lang w:val="el-GR"/>
        </w:rPr>
        <w:t>α</w:t>
      </w:r>
      <w:r w:rsidR="00072A4B">
        <w:rPr>
          <w:color w:val="021142"/>
          <w:lang w:val="el-GR"/>
        </w:rPr>
        <w:t xml:space="preserve">νήλθαν σε </w:t>
      </w:r>
      <w:r w:rsidRPr="00026549">
        <w:rPr>
          <w:color w:val="021142"/>
          <w:lang w:val="el-GR"/>
        </w:rPr>
        <w:t>€</w:t>
      </w:r>
      <w:r w:rsidR="00072A4B">
        <w:rPr>
          <w:color w:val="021142"/>
          <w:lang w:val="el-GR"/>
        </w:rPr>
        <w:t xml:space="preserve">2,38, αυξημένα κατά </w:t>
      </w:r>
      <w:r w:rsidR="007C41E4" w:rsidRPr="0082040B">
        <w:rPr>
          <w:color w:val="021142"/>
          <w:lang w:val="el-GR"/>
        </w:rPr>
        <w:t>7</w:t>
      </w:r>
      <w:r w:rsidR="00072A4B">
        <w:rPr>
          <w:color w:val="021142"/>
          <w:lang w:val="el-GR"/>
        </w:rPr>
        <w:t>,</w:t>
      </w:r>
      <w:r w:rsidR="007C41E4" w:rsidRPr="0082040B">
        <w:rPr>
          <w:color w:val="021142"/>
          <w:lang w:val="el-GR"/>
        </w:rPr>
        <w:t>6</w:t>
      </w:r>
      <w:r w:rsidR="00072A4B">
        <w:rPr>
          <w:color w:val="021142"/>
          <w:lang w:val="el-GR"/>
        </w:rPr>
        <w:t xml:space="preserve">% </w:t>
      </w:r>
      <w:r w:rsidR="007C41E4">
        <w:rPr>
          <w:color w:val="021142"/>
          <w:lang w:val="en-GB"/>
        </w:rPr>
        <w:t>to</w:t>
      </w:r>
      <w:r w:rsidR="007C41E4" w:rsidRPr="0082040B">
        <w:rPr>
          <w:color w:val="021142"/>
          <w:lang w:val="el-GR"/>
        </w:rPr>
        <w:t xml:space="preserve"> </w:t>
      </w:r>
      <w:r w:rsidR="007C41E4">
        <w:rPr>
          <w:color w:val="021142"/>
          <w:lang w:val="el-GR"/>
        </w:rPr>
        <w:t>Α΄ Εξάμηνο 2025</w:t>
      </w:r>
      <w:r w:rsidR="007C41E4" w:rsidRPr="0082040B">
        <w:rPr>
          <w:color w:val="021142"/>
          <w:lang w:val="el-GR"/>
        </w:rPr>
        <w:t xml:space="preserve"> (</w:t>
      </w:r>
      <w:r w:rsidR="00072A4B" w:rsidRPr="0082040B">
        <w:rPr>
          <w:color w:val="021142"/>
          <w:lang w:val="el-GR"/>
        </w:rPr>
        <w:t>λαμβάνοντας</w:t>
      </w:r>
      <w:r w:rsidR="00072A4B" w:rsidRPr="007C41E4">
        <w:rPr>
          <w:color w:val="021142"/>
          <w:lang w:val="el-GR"/>
        </w:rPr>
        <w:t xml:space="preserve"> </w:t>
      </w:r>
      <w:r w:rsidR="007C41E4" w:rsidRPr="007C41E4">
        <w:rPr>
          <w:color w:val="021142"/>
          <w:lang w:val="el-GR"/>
        </w:rPr>
        <w:t>υπόψη</w:t>
      </w:r>
      <w:r w:rsidR="00072A4B" w:rsidRPr="007C41E4">
        <w:rPr>
          <w:color w:val="021142"/>
          <w:lang w:val="el-GR"/>
        </w:rPr>
        <w:t xml:space="preserve"> την πληρωμή μερίσματος</w:t>
      </w:r>
      <w:r w:rsidR="007C41E4" w:rsidRPr="0082040B">
        <w:rPr>
          <w:color w:val="021142"/>
          <w:lang w:val="el-GR"/>
        </w:rPr>
        <w:t xml:space="preserve"> </w:t>
      </w:r>
      <w:r w:rsidR="007C41E4" w:rsidRPr="007C41E4">
        <w:rPr>
          <w:color w:val="021142"/>
          <w:lang w:val="el-GR"/>
        </w:rPr>
        <w:t>για το 2024</w:t>
      </w:r>
      <w:r w:rsidR="00072A4B" w:rsidRPr="007C41E4">
        <w:rPr>
          <w:color w:val="021142"/>
          <w:lang w:val="el-GR"/>
        </w:rPr>
        <w:t>)</w:t>
      </w:r>
      <w:r w:rsidR="00026549" w:rsidRPr="007C41E4">
        <w:rPr>
          <w:color w:val="021142"/>
          <w:lang w:val="el-GR"/>
        </w:rPr>
        <w:t>.</w:t>
      </w:r>
    </w:p>
    <w:p w14:paraId="29219763" w14:textId="77777777" w:rsidR="00026549" w:rsidRPr="007C41E4" w:rsidRDefault="00026549" w:rsidP="00026549">
      <w:pPr>
        <w:pStyle w:val="ListParagraph"/>
        <w:rPr>
          <w:color w:val="021142"/>
          <w:spacing w:val="-1"/>
          <w:lang w:val="el-GR"/>
        </w:rPr>
      </w:pPr>
    </w:p>
    <w:p w14:paraId="21B27EFA" w14:textId="53D699A5" w:rsidR="00852D18" w:rsidRPr="0082040B" w:rsidRDefault="00F83B3C" w:rsidP="000F5589">
      <w:pPr>
        <w:pStyle w:val="ListParagraph"/>
        <w:numPr>
          <w:ilvl w:val="0"/>
          <w:numId w:val="14"/>
        </w:numPr>
        <w:tabs>
          <w:tab w:val="left" w:pos="691"/>
        </w:tabs>
        <w:spacing w:line="247" w:lineRule="auto"/>
        <w:ind w:right="397"/>
        <w:rPr>
          <w:lang w:val="el-GR"/>
        </w:rPr>
      </w:pPr>
      <w:r w:rsidRPr="007C41E4">
        <w:rPr>
          <w:b/>
          <w:bCs/>
          <w:color w:val="021142"/>
        </w:rPr>
        <w:t>To</w:t>
      </w:r>
      <w:r w:rsidRPr="007C41E4">
        <w:rPr>
          <w:b/>
          <w:bCs/>
          <w:color w:val="021142"/>
          <w:lang w:val="el-GR"/>
        </w:rPr>
        <w:t xml:space="preserve"> </w:t>
      </w:r>
      <w:r w:rsidR="004A4C4F" w:rsidRPr="007C41E4">
        <w:rPr>
          <w:b/>
          <w:bCs/>
          <w:color w:val="021142"/>
          <w:lang w:val="el-GR"/>
        </w:rPr>
        <w:t>σύνολο του ενεργητικού</w:t>
      </w:r>
      <w:r w:rsidR="004A4C4F" w:rsidRPr="007C41E4">
        <w:rPr>
          <w:color w:val="021142"/>
          <w:lang w:val="el-GR"/>
        </w:rPr>
        <w:t xml:space="preserve"> </w:t>
      </w:r>
      <w:r w:rsidR="002B7353" w:rsidRPr="007C41E4">
        <w:rPr>
          <w:color w:val="021142"/>
          <w:lang w:val="el-GR"/>
        </w:rPr>
        <w:t>διαμορφώθηκε</w:t>
      </w:r>
      <w:r w:rsidRPr="007C41E4">
        <w:rPr>
          <w:color w:val="021142"/>
          <w:lang w:val="el-GR"/>
        </w:rPr>
        <w:t xml:space="preserve"> </w:t>
      </w:r>
      <w:r w:rsidR="004A4C4F" w:rsidRPr="007C41E4">
        <w:rPr>
          <w:color w:val="021142"/>
          <w:lang w:val="el-GR"/>
        </w:rPr>
        <w:t>σε €</w:t>
      </w:r>
      <w:r w:rsidR="00072A4B" w:rsidRPr="007C41E4">
        <w:rPr>
          <w:color w:val="021142"/>
          <w:lang w:val="el-GR"/>
        </w:rPr>
        <w:t>102,2</w:t>
      </w:r>
      <w:r w:rsidR="004A4C4F" w:rsidRPr="007C41E4">
        <w:rPr>
          <w:color w:val="021142"/>
          <w:lang w:val="el-GR"/>
        </w:rPr>
        <w:t>δισ.</w:t>
      </w:r>
      <w:r w:rsidR="00573171" w:rsidRPr="007C41E4">
        <w:rPr>
          <w:color w:val="021142"/>
          <w:lang w:val="el-GR"/>
        </w:rPr>
        <w:t xml:space="preserve">, </w:t>
      </w:r>
      <w:r w:rsidR="00573171" w:rsidRPr="0082040B">
        <w:rPr>
          <w:color w:val="021142"/>
          <w:lang w:val="el-GR"/>
        </w:rPr>
        <w:t>εκ των οποίων €</w:t>
      </w:r>
      <w:r w:rsidR="007C41E4" w:rsidRPr="0082040B">
        <w:rPr>
          <w:color w:val="021142"/>
          <w:lang w:val="el-GR"/>
        </w:rPr>
        <w:t>58,8</w:t>
      </w:r>
      <w:r w:rsidR="00573171" w:rsidRPr="0082040B">
        <w:rPr>
          <w:color w:val="021142"/>
          <w:lang w:val="el-GR"/>
        </w:rPr>
        <w:t>δισ. στην Ελλάδα, €</w:t>
      </w:r>
      <w:r w:rsidR="007C41E4" w:rsidRPr="0082040B">
        <w:rPr>
          <w:color w:val="021142"/>
          <w:lang w:val="el-GR"/>
        </w:rPr>
        <w:t>28,1</w:t>
      </w:r>
      <w:r w:rsidR="00573171" w:rsidRPr="0082040B">
        <w:rPr>
          <w:color w:val="021142"/>
          <w:lang w:val="el-GR"/>
        </w:rPr>
        <w:t>δισ. στην Κύπρο και €</w:t>
      </w:r>
      <w:r w:rsidR="007C41E4" w:rsidRPr="0082040B">
        <w:rPr>
          <w:color w:val="021142"/>
          <w:lang w:val="el-GR"/>
        </w:rPr>
        <w:t>12,4</w:t>
      </w:r>
      <w:r w:rsidR="00573171" w:rsidRPr="0082040B">
        <w:rPr>
          <w:color w:val="021142"/>
          <w:lang w:val="el-GR"/>
        </w:rPr>
        <w:t>δισ. στη Βουλγαρία.</w:t>
      </w:r>
      <w:r w:rsidR="007A0DDD" w:rsidRPr="0082040B">
        <w:rPr>
          <w:color w:val="021142"/>
          <w:lang w:val="el-GR"/>
        </w:rPr>
        <w:t xml:space="preserve"> </w:t>
      </w:r>
    </w:p>
    <w:p w14:paraId="57BDFADC" w14:textId="77777777" w:rsidR="00852D18" w:rsidRPr="007E39EC" w:rsidRDefault="00852D18" w:rsidP="000F5589">
      <w:pPr>
        <w:pStyle w:val="BodyText"/>
        <w:ind w:right="397"/>
        <w:rPr>
          <w:sz w:val="21"/>
          <w:lang w:val="el-GR"/>
        </w:rPr>
      </w:pPr>
    </w:p>
    <w:p w14:paraId="2E4DB30C" w14:textId="0E215773" w:rsidR="00852D18" w:rsidRPr="00027850" w:rsidRDefault="00267889" w:rsidP="000F5589">
      <w:pPr>
        <w:pStyle w:val="ListParagraph"/>
        <w:numPr>
          <w:ilvl w:val="0"/>
          <w:numId w:val="14"/>
        </w:numPr>
        <w:tabs>
          <w:tab w:val="left" w:pos="700"/>
        </w:tabs>
        <w:spacing w:before="1" w:line="244" w:lineRule="auto"/>
        <w:ind w:right="397"/>
        <w:rPr>
          <w:lang w:val="el-GR"/>
        </w:rPr>
      </w:pPr>
      <w:r w:rsidRPr="00027850">
        <w:rPr>
          <w:color w:val="021142"/>
          <w:lang w:val="el-GR"/>
        </w:rPr>
        <w:t xml:space="preserve">Τα </w:t>
      </w:r>
      <w:r w:rsidRPr="00027850">
        <w:rPr>
          <w:b/>
          <w:bCs/>
          <w:color w:val="021142"/>
          <w:lang w:val="el-GR"/>
        </w:rPr>
        <w:t>ενήμερα δάνεια</w:t>
      </w:r>
      <w:r w:rsidR="00365459" w:rsidRPr="00027850">
        <w:rPr>
          <w:color w:val="021142"/>
          <w:lang w:val="el-GR"/>
        </w:rPr>
        <w:t xml:space="preserve"> </w:t>
      </w:r>
      <w:r w:rsidRPr="00027850">
        <w:rPr>
          <w:color w:val="021142"/>
          <w:lang w:val="el-GR"/>
        </w:rPr>
        <w:t>ενισχύθηκαν οργανικά κατά €</w:t>
      </w:r>
      <w:r w:rsidR="00072A4B">
        <w:rPr>
          <w:color w:val="021142"/>
          <w:lang w:val="el-GR"/>
        </w:rPr>
        <w:t>2,2</w:t>
      </w:r>
      <w:r w:rsidR="00031669" w:rsidRPr="00027850">
        <w:rPr>
          <w:color w:val="021142"/>
          <w:lang w:val="el-GR"/>
        </w:rPr>
        <w:t>δισ</w:t>
      </w:r>
      <w:r w:rsidR="00525FD0" w:rsidRPr="00027850">
        <w:rPr>
          <w:color w:val="021142"/>
          <w:lang w:val="el-GR"/>
        </w:rPr>
        <w:t>.</w:t>
      </w:r>
      <w:r w:rsidR="00814E0B" w:rsidRPr="00027850">
        <w:rPr>
          <w:color w:val="021142"/>
          <w:lang w:val="el-GR"/>
        </w:rPr>
        <w:t xml:space="preserve"> </w:t>
      </w:r>
      <w:bookmarkStart w:id="6" w:name="_Hlk102985641"/>
      <w:r w:rsidR="00814E0B" w:rsidRPr="00027850">
        <w:rPr>
          <w:color w:val="021142"/>
          <w:lang w:val="el-GR"/>
        </w:rPr>
        <w:t xml:space="preserve">το </w:t>
      </w:r>
      <w:bookmarkEnd w:id="6"/>
      <w:r w:rsidR="00D56F06" w:rsidRPr="00027850">
        <w:rPr>
          <w:color w:val="021142"/>
          <w:lang w:val="el-GR"/>
        </w:rPr>
        <w:t>Α΄</w:t>
      </w:r>
      <w:r w:rsidR="00E436C3">
        <w:rPr>
          <w:color w:val="021142"/>
          <w:lang w:val="el-GR"/>
        </w:rPr>
        <w:t xml:space="preserve"> Εξάμηνο </w:t>
      </w:r>
      <w:r w:rsidR="00D56F06" w:rsidRPr="00027850">
        <w:rPr>
          <w:color w:val="021142"/>
          <w:lang w:val="el-GR"/>
        </w:rPr>
        <w:t>2025</w:t>
      </w:r>
      <w:r w:rsidR="00234162" w:rsidRPr="00027850">
        <w:rPr>
          <w:color w:val="021142"/>
          <w:lang w:val="el-GR"/>
        </w:rPr>
        <w:t xml:space="preserve">, εκ. των οποίων </w:t>
      </w:r>
      <w:r w:rsidR="008140D2" w:rsidRPr="00027850">
        <w:rPr>
          <w:color w:val="021142"/>
          <w:lang w:val="el-GR"/>
        </w:rPr>
        <w:t>€</w:t>
      </w:r>
      <w:r w:rsidR="00072A4B">
        <w:rPr>
          <w:color w:val="021142"/>
          <w:lang w:val="el-GR"/>
        </w:rPr>
        <w:t>1,4</w:t>
      </w:r>
      <w:r w:rsidR="008140D2" w:rsidRPr="00027850">
        <w:rPr>
          <w:color w:val="021142"/>
          <w:lang w:val="el-GR"/>
        </w:rPr>
        <w:t>δισ. στην Ελλάδα και €</w:t>
      </w:r>
      <w:r w:rsidR="00072A4B">
        <w:rPr>
          <w:color w:val="021142"/>
          <w:lang w:val="el-GR"/>
        </w:rPr>
        <w:t>0,8</w:t>
      </w:r>
      <w:r w:rsidR="008140D2" w:rsidRPr="00027850">
        <w:rPr>
          <w:color w:val="021142"/>
          <w:lang w:val="el-GR"/>
        </w:rPr>
        <w:t>δισ. στο εξωτερικό.</w:t>
      </w:r>
      <w:r w:rsidR="004A4C4F" w:rsidRPr="00027850">
        <w:rPr>
          <w:color w:val="021142"/>
          <w:lang w:val="el-GR"/>
        </w:rPr>
        <w:t xml:space="preserve"> </w:t>
      </w:r>
      <w:r w:rsidR="005511E3" w:rsidRPr="00027850">
        <w:rPr>
          <w:color w:val="021142"/>
          <w:lang w:val="el-GR"/>
        </w:rPr>
        <w:t xml:space="preserve">Τα </w:t>
      </w:r>
      <w:r w:rsidR="005511E3" w:rsidRPr="00027850">
        <w:rPr>
          <w:b/>
          <w:color w:val="021142"/>
          <w:lang w:val="el-GR"/>
        </w:rPr>
        <w:t xml:space="preserve">συνολικά υπόλοιπα χορηγήσεων </w:t>
      </w:r>
      <w:r w:rsidR="005511E3" w:rsidRPr="00027850">
        <w:rPr>
          <w:color w:val="021142"/>
          <w:lang w:val="el-GR"/>
        </w:rPr>
        <w:t>(προ πρ</w:t>
      </w:r>
      <w:r w:rsidR="00E406E6" w:rsidRPr="00027850">
        <w:rPr>
          <w:color w:val="021142"/>
          <w:lang w:val="el-GR"/>
        </w:rPr>
        <w:t>οβλέψεων) διαμορφώθηκαν σε €</w:t>
      </w:r>
      <w:r w:rsidR="00072A4B">
        <w:rPr>
          <w:color w:val="021142"/>
          <w:lang w:val="el-GR"/>
        </w:rPr>
        <w:t>53,</w:t>
      </w:r>
      <w:r w:rsidR="001A6A8D" w:rsidRPr="00E84D07">
        <w:rPr>
          <w:color w:val="021142"/>
          <w:lang w:val="el-GR"/>
        </w:rPr>
        <w:t>6</w:t>
      </w:r>
      <w:r w:rsidR="005511E3" w:rsidRPr="00027850">
        <w:rPr>
          <w:color w:val="021142"/>
          <w:lang w:val="el-GR"/>
        </w:rPr>
        <w:t>δισ.</w:t>
      </w:r>
      <w:r w:rsidR="005511E3" w:rsidRPr="00027850">
        <w:rPr>
          <w:color w:val="021142"/>
          <w:spacing w:val="-1"/>
          <w:lang w:val="el-GR"/>
        </w:rPr>
        <w:t>,</w:t>
      </w:r>
      <w:r w:rsidR="008C1418" w:rsidRPr="00027850">
        <w:rPr>
          <w:color w:val="021142"/>
          <w:spacing w:val="-1"/>
          <w:lang w:val="el-GR"/>
        </w:rPr>
        <w:t xml:space="preserve"> εκ των οποίων €</w:t>
      </w:r>
      <w:r w:rsidR="00072A4B">
        <w:rPr>
          <w:color w:val="021142"/>
          <w:spacing w:val="-1"/>
          <w:lang w:val="el-GR"/>
        </w:rPr>
        <w:t>35,</w:t>
      </w:r>
      <w:r w:rsidR="00B36593" w:rsidRPr="00662765">
        <w:rPr>
          <w:color w:val="021142"/>
          <w:spacing w:val="-1"/>
          <w:lang w:val="el-GR"/>
        </w:rPr>
        <w:t>5</w:t>
      </w:r>
      <w:r w:rsidR="008C1418" w:rsidRPr="00027850">
        <w:rPr>
          <w:color w:val="021142"/>
          <w:spacing w:val="-1"/>
          <w:lang w:val="el-GR"/>
        </w:rPr>
        <w:t xml:space="preserve">δισ. στην Ελλάδα, </w:t>
      </w:r>
      <w:r w:rsidR="00325421" w:rsidRPr="00027850">
        <w:rPr>
          <w:color w:val="021142"/>
          <w:spacing w:val="-1"/>
          <w:lang w:val="el-GR"/>
        </w:rPr>
        <w:t>€</w:t>
      </w:r>
      <w:r w:rsidR="00072A4B">
        <w:rPr>
          <w:color w:val="021142"/>
          <w:spacing w:val="-1"/>
          <w:lang w:val="el-GR"/>
        </w:rPr>
        <w:t>8,</w:t>
      </w:r>
      <w:r w:rsidR="001A6A8D" w:rsidRPr="00E84D07">
        <w:rPr>
          <w:color w:val="021142"/>
          <w:spacing w:val="-1"/>
          <w:lang w:val="el-GR"/>
        </w:rPr>
        <w:t>8</w:t>
      </w:r>
      <w:r w:rsidR="00325421" w:rsidRPr="00027850">
        <w:rPr>
          <w:color w:val="021142"/>
          <w:spacing w:val="-1"/>
          <w:lang w:val="el-GR"/>
        </w:rPr>
        <w:t xml:space="preserve">δισ. στην Κύπρο και </w:t>
      </w:r>
      <w:r w:rsidR="008C1418" w:rsidRPr="00027850">
        <w:rPr>
          <w:color w:val="021142"/>
          <w:spacing w:val="-1"/>
          <w:lang w:val="el-GR"/>
        </w:rPr>
        <w:t>€</w:t>
      </w:r>
      <w:r w:rsidR="00072A4B">
        <w:rPr>
          <w:color w:val="021142"/>
          <w:spacing w:val="-1"/>
          <w:lang w:val="el-GR"/>
        </w:rPr>
        <w:t>8,4</w:t>
      </w:r>
      <w:r w:rsidR="008C1418" w:rsidRPr="00027850">
        <w:rPr>
          <w:color w:val="021142"/>
          <w:spacing w:val="-1"/>
          <w:lang w:val="el-GR"/>
        </w:rPr>
        <w:t>δισ. στη Βουλγαρία</w:t>
      </w:r>
      <w:r w:rsidR="005511E3" w:rsidRPr="00027850">
        <w:rPr>
          <w:color w:val="021142"/>
          <w:spacing w:val="-1"/>
          <w:lang w:val="el-GR"/>
        </w:rPr>
        <w:t>.</w:t>
      </w:r>
      <w:r w:rsidR="005511E3" w:rsidRPr="00027850">
        <w:rPr>
          <w:color w:val="021142"/>
          <w:spacing w:val="-12"/>
          <w:lang w:val="el-GR"/>
        </w:rPr>
        <w:t xml:space="preserve"> </w:t>
      </w:r>
      <w:r w:rsidR="008C1418" w:rsidRPr="00027850">
        <w:rPr>
          <w:color w:val="021142"/>
          <w:spacing w:val="-12"/>
          <w:lang w:val="el-GR"/>
        </w:rPr>
        <w:t>Σε επίπεδο Ομίλου, τα</w:t>
      </w:r>
      <w:r w:rsidR="005511E3" w:rsidRPr="00027850">
        <w:rPr>
          <w:color w:val="021142"/>
          <w:spacing w:val="-13"/>
          <w:lang w:val="el-GR"/>
        </w:rPr>
        <w:t xml:space="preserve"> </w:t>
      </w:r>
      <w:r w:rsidR="005511E3" w:rsidRPr="00027850">
        <w:rPr>
          <w:color w:val="021142"/>
          <w:spacing w:val="-1"/>
          <w:lang w:val="el-GR"/>
        </w:rPr>
        <w:t>επιχειρηματικά</w:t>
      </w:r>
      <w:r w:rsidR="005511E3" w:rsidRPr="00027850">
        <w:rPr>
          <w:color w:val="021142"/>
          <w:spacing w:val="-12"/>
          <w:lang w:val="el-GR"/>
        </w:rPr>
        <w:t xml:space="preserve"> </w:t>
      </w:r>
      <w:r w:rsidR="005511E3" w:rsidRPr="00027850">
        <w:rPr>
          <w:color w:val="021142"/>
          <w:lang w:val="el-GR"/>
        </w:rPr>
        <w:t>δάνεια</w:t>
      </w:r>
      <w:r w:rsidR="0090119D" w:rsidRPr="00027850">
        <w:rPr>
          <w:color w:val="021142"/>
          <w:lang w:val="el-GR"/>
        </w:rPr>
        <w:t xml:space="preserve"> </w:t>
      </w:r>
      <w:r w:rsidR="00565849" w:rsidRPr="00027850">
        <w:rPr>
          <w:color w:val="021142"/>
          <w:lang w:val="el-GR"/>
        </w:rPr>
        <w:t>ανήλθαν</w:t>
      </w:r>
      <w:r w:rsidR="005511E3" w:rsidRPr="00027850">
        <w:rPr>
          <w:color w:val="021142"/>
          <w:spacing w:val="-3"/>
          <w:lang w:val="el-GR"/>
        </w:rPr>
        <w:t xml:space="preserve"> </w:t>
      </w:r>
      <w:r w:rsidR="005511E3" w:rsidRPr="00027850">
        <w:rPr>
          <w:color w:val="021142"/>
          <w:lang w:val="el-GR"/>
        </w:rPr>
        <w:t>σε</w:t>
      </w:r>
      <w:r w:rsidR="005511E3" w:rsidRPr="00027850">
        <w:rPr>
          <w:color w:val="021142"/>
          <w:spacing w:val="-3"/>
          <w:lang w:val="el-GR"/>
        </w:rPr>
        <w:t xml:space="preserve"> </w:t>
      </w:r>
      <w:r w:rsidR="005511E3" w:rsidRPr="00027850">
        <w:rPr>
          <w:color w:val="021142"/>
          <w:lang w:val="el-GR"/>
        </w:rPr>
        <w:t>€</w:t>
      </w:r>
      <w:r w:rsidR="00072A4B">
        <w:rPr>
          <w:color w:val="021142"/>
          <w:lang w:val="el-GR"/>
        </w:rPr>
        <w:t>32,1</w:t>
      </w:r>
      <w:r w:rsidR="005511E3" w:rsidRPr="00027850">
        <w:rPr>
          <w:color w:val="021142"/>
          <w:lang w:val="el-GR"/>
        </w:rPr>
        <w:t>δισ.,</w:t>
      </w:r>
      <w:r w:rsidR="005511E3" w:rsidRPr="00027850">
        <w:rPr>
          <w:color w:val="021142"/>
          <w:spacing w:val="-2"/>
          <w:lang w:val="el-GR"/>
        </w:rPr>
        <w:t xml:space="preserve"> </w:t>
      </w:r>
      <w:r w:rsidR="005511E3" w:rsidRPr="00027850">
        <w:rPr>
          <w:color w:val="021142"/>
          <w:lang w:val="el-GR"/>
        </w:rPr>
        <w:t>τα</w:t>
      </w:r>
      <w:r w:rsidR="005511E3" w:rsidRPr="00027850">
        <w:rPr>
          <w:color w:val="021142"/>
          <w:spacing w:val="-3"/>
          <w:lang w:val="el-GR"/>
        </w:rPr>
        <w:t xml:space="preserve"> </w:t>
      </w:r>
      <w:r w:rsidR="005511E3" w:rsidRPr="00027850">
        <w:rPr>
          <w:color w:val="021142"/>
          <w:lang w:val="el-GR"/>
        </w:rPr>
        <w:t>στεγαστικά</w:t>
      </w:r>
      <w:r w:rsidR="005511E3" w:rsidRPr="00027850">
        <w:rPr>
          <w:color w:val="021142"/>
          <w:spacing w:val="-2"/>
          <w:lang w:val="el-GR"/>
        </w:rPr>
        <w:t xml:space="preserve"> </w:t>
      </w:r>
      <w:r w:rsidR="005511E3" w:rsidRPr="00027850">
        <w:rPr>
          <w:color w:val="021142"/>
          <w:lang w:val="el-GR"/>
        </w:rPr>
        <w:t>σε</w:t>
      </w:r>
      <w:r w:rsidR="005511E3" w:rsidRPr="00027850">
        <w:rPr>
          <w:color w:val="021142"/>
          <w:spacing w:val="-3"/>
          <w:lang w:val="el-GR"/>
        </w:rPr>
        <w:t xml:space="preserve"> </w:t>
      </w:r>
      <w:r w:rsidR="00E34391" w:rsidRPr="00027850">
        <w:rPr>
          <w:color w:val="021142"/>
          <w:lang w:val="el-GR"/>
        </w:rPr>
        <w:t>€</w:t>
      </w:r>
      <w:r w:rsidR="00072A4B">
        <w:rPr>
          <w:color w:val="021142"/>
          <w:lang w:val="el-GR"/>
        </w:rPr>
        <w:t>12,</w:t>
      </w:r>
      <w:r w:rsidR="00BB6F95" w:rsidRPr="00E84D07">
        <w:rPr>
          <w:color w:val="021142"/>
          <w:lang w:val="el-GR"/>
        </w:rPr>
        <w:t>8</w:t>
      </w:r>
      <w:r w:rsidR="005511E3" w:rsidRPr="00027850">
        <w:rPr>
          <w:color w:val="021142"/>
          <w:lang w:val="el-GR"/>
        </w:rPr>
        <w:t>δισ.</w:t>
      </w:r>
      <w:r w:rsidR="005511E3" w:rsidRPr="00027850">
        <w:rPr>
          <w:color w:val="021142"/>
          <w:spacing w:val="-2"/>
          <w:lang w:val="el-GR"/>
        </w:rPr>
        <w:t xml:space="preserve"> </w:t>
      </w:r>
      <w:r w:rsidR="005511E3" w:rsidRPr="00027850">
        <w:rPr>
          <w:color w:val="021142"/>
          <w:lang w:val="el-GR"/>
        </w:rPr>
        <w:t>και</w:t>
      </w:r>
      <w:r w:rsidR="005511E3" w:rsidRPr="00027850">
        <w:rPr>
          <w:color w:val="021142"/>
          <w:spacing w:val="-3"/>
          <w:lang w:val="el-GR"/>
        </w:rPr>
        <w:t xml:space="preserve"> </w:t>
      </w:r>
      <w:r w:rsidR="005511E3" w:rsidRPr="00027850">
        <w:rPr>
          <w:color w:val="021142"/>
          <w:lang w:val="el-GR"/>
        </w:rPr>
        <w:t>τα</w:t>
      </w:r>
      <w:r w:rsidR="005511E3" w:rsidRPr="00027850">
        <w:rPr>
          <w:color w:val="021142"/>
          <w:spacing w:val="-3"/>
          <w:lang w:val="el-GR"/>
        </w:rPr>
        <w:t xml:space="preserve"> </w:t>
      </w:r>
      <w:r w:rsidR="005511E3" w:rsidRPr="00027850">
        <w:rPr>
          <w:color w:val="021142"/>
          <w:lang w:val="el-GR"/>
        </w:rPr>
        <w:t>καταναλωτικά</w:t>
      </w:r>
      <w:r w:rsidR="005511E3" w:rsidRPr="00027850">
        <w:rPr>
          <w:color w:val="021142"/>
          <w:spacing w:val="-2"/>
          <w:lang w:val="el-GR"/>
        </w:rPr>
        <w:t xml:space="preserve"> </w:t>
      </w:r>
      <w:r w:rsidR="005511E3" w:rsidRPr="00027850">
        <w:rPr>
          <w:color w:val="021142"/>
          <w:lang w:val="el-GR"/>
        </w:rPr>
        <w:t>σε</w:t>
      </w:r>
      <w:r w:rsidR="005511E3" w:rsidRPr="00027850">
        <w:rPr>
          <w:color w:val="021142"/>
          <w:spacing w:val="-3"/>
          <w:lang w:val="el-GR"/>
        </w:rPr>
        <w:t xml:space="preserve"> </w:t>
      </w:r>
      <w:r w:rsidR="00E34391" w:rsidRPr="00027850">
        <w:rPr>
          <w:color w:val="021142"/>
          <w:lang w:val="el-GR"/>
        </w:rPr>
        <w:t>€</w:t>
      </w:r>
      <w:r w:rsidR="001E56F5">
        <w:rPr>
          <w:color w:val="021142"/>
          <w:lang w:val="el-GR"/>
        </w:rPr>
        <w:t>4,7</w:t>
      </w:r>
      <w:r w:rsidR="005511E3" w:rsidRPr="00027850">
        <w:rPr>
          <w:color w:val="021142"/>
          <w:lang w:val="el-GR"/>
        </w:rPr>
        <w:t>δισ.</w:t>
      </w:r>
    </w:p>
    <w:p w14:paraId="75DAA720" w14:textId="77777777" w:rsidR="00852D18" w:rsidRPr="007E39EC" w:rsidRDefault="00852D18" w:rsidP="000F5589">
      <w:pPr>
        <w:pStyle w:val="BodyText"/>
        <w:spacing w:before="1"/>
        <w:ind w:right="397"/>
        <w:rPr>
          <w:lang w:val="el-GR"/>
        </w:rPr>
      </w:pPr>
    </w:p>
    <w:p w14:paraId="604A79AC" w14:textId="005FEF43" w:rsidR="00325125" w:rsidRPr="007C41E4" w:rsidRDefault="005511E3" w:rsidP="00EB0E41">
      <w:pPr>
        <w:pStyle w:val="ListParagraph"/>
        <w:numPr>
          <w:ilvl w:val="0"/>
          <w:numId w:val="14"/>
        </w:numPr>
        <w:tabs>
          <w:tab w:val="left" w:pos="724"/>
        </w:tabs>
        <w:spacing w:line="237" w:lineRule="auto"/>
        <w:ind w:right="397"/>
        <w:rPr>
          <w:lang w:val="el-GR"/>
        </w:rPr>
      </w:pPr>
      <w:r w:rsidRPr="007E39EC">
        <w:rPr>
          <w:color w:val="021142"/>
          <w:lang w:val="el-GR"/>
        </w:rPr>
        <w:t>Οι</w:t>
      </w:r>
      <w:r w:rsidRPr="007E39EC">
        <w:rPr>
          <w:color w:val="021142"/>
          <w:spacing w:val="20"/>
          <w:lang w:val="el-GR"/>
        </w:rPr>
        <w:t xml:space="preserve"> </w:t>
      </w:r>
      <w:r w:rsidRPr="007E39EC">
        <w:rPr>
          <w:b/>
          <w:color w:val="021142"/>
          <w:lang w:val="el-GR"/>
        </w:rPr>
        <w:t>καταθέσεις</w:t>
      </w:r>
      <w:r w:rsidRPr="007E39EC">
        <w:rPr>
          <w:b/>
          <w:color w:val="021142"/>
          <w:spacing w:val="23"/>
          <w:lang w:val="el-GR"/>
        </w:rPr>
        <w:t xml:space="preserve"> </w:t>
      </w:r>
      <w:r w:rsidRPr="007E39EC">
        <w:rPr>
          <w:b/>
          <w:color w:val="021142"/>
          <w:lang w:val="el-GR"/>
        </w:rPr>
        <w:t>πελατών</w:t>
      </w:r>
      <w:r w:rsidRPr="007E39EC">
        <w:rPr>
          <w:b/>
          <w:color w:val="021142"/>
          <w:spacing w:val="23"/>
          <w:lang w:val="el-GR"/>
        </w:rPr>
        <w:t xml:space="preserve"> </w:t>
      </w:r>
      <w:r w:rsidR="00FD32FC">
        <w:rPr>
          <w:color w:val="021142"/>
          <w:spacing w:val="-1"/>
          <w:lang w:val="el-GR"/>
        </w:rPr>
        <w:t xml:space="preserve">αυξήθηκαν </w:t>
      </w:r>
      <w:r w:rsidRPr="007E39EC">
        <w:rPr>
          <w:color w:val="021142"/>
          <w:lang w:val="el-GR"/>
        </w:rPr>
        <w:t>€</w:t>
      </w:r>
      <w:r w:rsidR="00EF3BEB">
        <w:rPr>
          <w:color w:val="021142"/>
          <w:lang w:val="el-GR"/>
        </w:rPr>
        <w:t>1,0</w:t>
      </w:r>
      <w:r w:rsidR="00031669" w:rsidRPr="007E39EC">
        <w:rPr>
          <w:color w:val="021142"/>
          <w:lang w:val="el-GR"/>
        </w:rPr>
        <w:t>δισ.</w:t>
      </w:r>
      <w:r w:rsidRPr="007E39EC">
        <w:rPr>
          <w:color w:val="021142"/>
          <w:spacing w:val="20"/>
          <w:lang w:val="el-GR"/>
        </w:rPr>
        <w:t xml:space="preserve"> </w:t>
      </w:r>
      <w:r w:rsidR="006672A7" w:rsidRPr="007E39EC">
        <w:rPr>
          <w:color w:val="021142"/>
          <w:lang w:val="el-GR"/>
        </w:rPr>
        <w:t xml:space="preserve">το </w:t>
      </w:r>
      <w:r w:rsidR="00EF3BEB">
        <w:rPr>
          <w:color w:val="021142"/>
          <w:lang w:val="el-GR"/>
        </w:rPr>
        <w:t>Β</w:t>
      </w:r>
      <w:r w:rsidR="00D56F06">
        <w:rPr>
          <w:color w:val="021142"/>
          <w:lang w:val="el-GR"/>
        </w:rPr>
        <w:t>΄</w:t>
      </w:r>
      <w:r w:rsidR="009C56E3">
        <w:rPr>
          <w:color w:val="021142"/>
          <w:lang w:val="el-GR"/>
        </w:rPr>
        <w:t xml:space="preserve"> </w:t>
      </w:r>
      <w:r w:rsidR="00EF3BEB">
        <w:rPr>
          <w:color w:val="021142"/>
          <w:lang w:val="el-GR"/>
        </w:rPr>
        <w:t xml:space="preserve">Τρίμηνο </w:t>
      </w:r>
      <w:r w:rsidR="00D56F06">
        <w:rPr>
          <w:color w:val="021142"/>
          <w:lang w:val="el-GR"/>
        </w:rPr>
        <w:t>2025</w:t>
      </w:r>
      <w:r w:rsidR="00EF3BEB">
        <w:rPr>
          <w:color w:val="021142"/>
          <w:lang w:val="el-GR"/>
        </w:rPr>
        <w:t xml:space="preserve"> (</w:t>
      </w:r>
      <w:r w:rsidR="008140D2">
        <w:rPr>
          <w:color w:val="021142"/>
          <w:lang w:val="el-GR"/>
        </w:rPr>
        <w:t>εκ. των οποίων €</w:t>
      </w:r>
      <w:r w:rsidR="00EF3BEB">
        <w:rPr>
          <w:color w:val="021142"/>
          <w:lang w:val="el-GR"/>
        </w:rPr>
        <w:t>0,9</w:t>
      </w:r>
      <w:r w:rsidR="008140D2">
        <w:rPr>
          <w:color w:val="021142"/>
          <w:lang w:val="el-GR"/>
        </w:rPr>
        <w:t>δισ. στην Ελλάδα και €</w:t>
      </w:r>
      <w:r w:rsidR="00EF3BEB">
        <w:rPr>
          <w:color w:val="021142"/>
          <w:lang w:val="el-GR"/>
        </w:rPr>
        <w:t>0,1</w:t>
      </w:r>
      <w:r w:rsidR="008140D2">
        <w:rPr>
          <w:color w:val="021142"/>
          <w:lang w:val="el-GR"/>
        </w:rPr>
        <w:t>δισ. στο εξωτερικό</w:t>
      </w:r>
      <w:r w:rsidR="00EF3BEB">
        <w:rPr>
          <w:color w:val="021142"/>
          <w:lang w:val="el-GR"/>
        </w:rPr>
        <w:t xml:space="preserve">), μετά από μείωση ύψους </w:t>
      </w:r>
      <w:r w:rsidR="00EF3BEB" w:rsidRPr="007E39EC">
        <w:rPr>
          <w:color w:val="021142"/>
          <w:lang w:val="el-GR"/>
        </w:rPr>
        <w:t>€</w:t>
      </w:r>
      <w:r w:rsidR="00EF3BEB">
        <w:rPr>
          <w:color w:val="021142"/>
          <w:lang w:val="el-GR"/>
        </w:rPr>
        <w:t>1,</w:t>
      </w:r>
      <w:r w:rsidR="00874A3E" w:rsidRPr="00874A3E">
        <w:rPr>
          <w:color w:val="021142"/>
          <w:lang w:val="el-GR"/>
        </w:rPr>
        <w:t>5</w:t>
      </w:r>
      <w:r w:rsidR="00EF3BEB" w:rsidRPr="007E39EC">
        <w:rPr>
          <w:color w:val="021142"/>
          <w:lang w:val="el-GR"/>
        </w:rPr>
        <w:t>δισ.</w:t>
      </w:r>
      <w:r w:rsidR="00EF3BEB">
        <w:rPr>
          <w:color w:val="021142"/>
          <w:lang w:val="el-GR"/>
        </w:rPr>
        <w:t xml:space="preserve"> το Α΄ Τρίμηνο 2025 (συνολική μείωση </w:t>
      </w:r>
      <w:r w:rsidR="00FD32FC">
        <w:rPr>
          <w:color w:val="021142"/>
          <w:lang w:val="el-GR"/>
        </w:rPr>
        <w:t xml:space="preserve">το </w:t>
      </w:r>
      <w:r w:rsidR="00FD32FC">
        <w:rPr>
          <w:bCs/>
          <w:color w:val="021142"/>
          <w:spacing w:val="-8"/>
          <w:lang w:val="el-GR"/>
        </w:rPr>
        <w:t xml:space="preserve">Α΄ Εξάμηνο 2025 </w:t>
      </w:r>
      <w:r w:rsidR="00EF3BEB">
        <w:rPr>
          <w:color w:val="021142"/>
          <w:lang w:val="el-GR"/>
        </w:rPr>
        <w:t>ύψους €0,5δισ.</w:t>
      </w:r>
      <w:r w:rsidR="00EB6EC8" w:rsidRPr="00950E8F">
        <w:rPr>
          <w:color w:val="021142"/>
          <w:lang w:val="el-GR"/>
        </w:rPr>
        <w:t xml:space="preserve">, </w:t>
      </w:r>
      <w:r w:rsidR="00950E8F">
        <w:rPr>
          <w:color w:val="021142"/>
          <w:lang w:val="el-GR"/>
        </w:rPr>
        <w:t xml:space="preserve">που συμπεριλαμβάνει </w:t>
      </w:r>
      <w:r w:rsidR="00FD32FC">
        <w:rPr>
          <w:color w:val="021142"/>
          <w:lang w:val="el-GR"/>
        </w:rPr>
        <w:t xml:space="preserve">αρνητική </w:t>
      </w:r>
      <w:r w:rsidR="00EB6EC8">
        <w:rPr>
          <w:color w:val="021142"/>
          <w:lang w:val="el-GR"/>
        </w:rPr>
        <w:t xml:space="preserve">επίδραση </w:t>
      </w:r>
      <w:r w:rsidR="00950E8F">
        <w:rPr>
          <w:color w:val="021142"/>
          <w:lang w:val="el-GR"/>
        </w:rPr>
        <w:t xml:space="preserve">ύψους €0,9δισ. </w:t>
      </w:r>
      <w:r w:rsidR="00FD32FC">
        <w:rPr>
          <w:color w:val="021142"/>
          <w:lang w:val="el-GR"/>
        </w:rPr>
        <w:t xml:space="preserve">λόγω </w:t>
      </w:r>
      <w:r w:rsidR="00EB6EC8">
        <w:rPr>
          <w:color w:val="021142"/>
          <w:lang w:val="el-GR"/>
        </w:rPr>
        <w:t xml:space="preserve">συναλλαγματικής ισοτιμίας σε </w:t>
      </w:r>
      <w:r w:rsidR="00EB6EC8">
        <w:rPr>
          <w:color w:val="021142"/>
          <w:lang w:val="en-GB"/>
        </w:rPr>
        <w:t>USD</w:t>
      </w:r>
      <w:r w:rsidR="00950E8F">
        <w:rPr>
          <w:color w:val="021142"/>
          <w:lang w:val="el-GR"/>
        </w:rPr>
        <w:t>).</w:t>
      </w:r>
      <w:r w:rsidR="00EB6EC8">
        <w:rPr>
          <w:color w:val="021142"/>
          <w:lang w:val="el-GR"/>
        </w:rPr>
        <w:t xml:space="preserve"> </w:t>
      </w:r>
      <w:r w:rsidR="001C23C3" w:rsidRPr="007E39EC">
        <w:rPr>
          <w:color w:val="021142"/>
          <w:spacing w:val="20"/>
          <w:lang w:val="el-GR"/>
        </w:rPr>
        <w:t xml:space="preserve">Τα </w:t>
      </w:r>
      <w:r w:rsidR="001C23C3" w:rsidRPr="00950E8F">
        <w:rPr>
          <w:b/>
          <w:color w:val="021142"/>
          <w:lang w:val="el-GR"/>
        </w:rPr>
        <w:t>συνολικά υπόλοιπα καταθέσεων</w:t>
      </w:r>
      <w:r w:rsidR="001C23C3" w:rsidRPr="001549D5">
        <w:rPr>
          <w:color w:val="021142"/>
          <w:spacing w:val="20"/>
          <w:lang w:val="el-GR"/>
        </w:rPr>
        <w:t xml:space="preserve"> </w:t>
      </w:r>
      <w:r w:rsidR="001C23C3" w:rsidRPr="00950E8F">
        <w:rPr>
          <w:color w:val="021142"/>
          <w:spacing w:val="-1"/>
          <w:lang w:val="el-GR"/>
        </w:rPr>
        <w:t>διαμορφώθηκαν σε €</w:t>
      </w:r>
      <w:r w:rsidR="00130212">
        <w:rPr>
          <w:color w:val="021142"/>
          <w:spacing w:val="-1"/>
          <w:lang w:val="el-GR"/>
        </w:rPr>
        <w:t>78,</w:t>
      </w:r>
      <w:r w:rsidR="008C7FCD" w:rsidRPr="00E84D07">
        <w:rPr>
          <w:color w:val="021142"/>
          <w:spacing w:val="-1"/>
          <w:lang w:val="el-GR"/>
        </w:rPr>
        <w:t>2</w:t>
      </w:r>
      <w:r w:rsidR="001C23C3" w:rsidRPr="00950E8F">
        <w:rPr>
          <w:color w:val="021142"/>
          <w:spacing w:val="-1"/>
          <w:lang w:val="el-GR"/>
        </w:rPr>
        <w:t>δι</w:t>
      </w:r>
      <w:r w:rsidR="00325421" w:rsidRPr="00950E8F">
        <w:rPr>
          <w:color w:val="021142"/>
          <w:spacing w:val="-1"/>
          <w:lang w:val="el-GR"/>
        </w:rPr>
        <w:t>σ</w:t>
      </w:r>
      <w:r w:rsidR="001C23C3" w:rsidRPr="001549D5">
        <w:rPr>
          <w:color w:val="021142"/>
          <w:spacing w:val="20"/>
          <w:lang w:val="el-GR"/>
        </w:rPr>
        <w:t>.</w:t>
      </w:r>
      <w:r w:rsidR="00325421" w:rsidRPr="001549D5">
        <w:rPr>
          <w:color w:val="021142"/>
          <w:spacing w:val="20"/>
          <w:lang w:val="el-GR"/>
        </w:rPr>
        <w:t>,</w:t>
      </w:r>
      <w:r w:rsidR="001C23C3" w:rsidRPr="001549D5">
        <w:rPr>
          <w:color w:val="021142"/>
          <w:spacing w:val="-1"/>
          <w:lang w:val="el-GR"/>
        </w:rPr>
        <w:t xml:space="preserve"> εκ των οποίων €</w:t>
      </w:r>
      <w:r w:rsidR="00130212">
        <w:rPr>
          <w:color w:val="021142"/>
          <w:spacing w:val="-1"/>
          <w:lang w:val="el-GR"/>
        </w:rPr>
        <w:t>4</w:t>
      </w:r>
      <w:r w:rsidR="008C7FCD" w:rsidRPr="00E84D07">
        <w:rPr>
          <w:color w:val="021142"/>
          <w:spacing w:val="-1"/>
          <w:lang w:val="el-GR"/>
        </w:rPr>
        <w:t>3</w:t>
      </w:r>
      <w:r w:rsidR="00130212">
        <w:rPr>
          <w:color w:val="021142"/>
          <w:spacing w:val="-1"/>
          <w:lang w:val="el-GR"/>
        </w:rPr>
        <w:t>,</w:t>
      </w:r>
      <w:r w:rsidR="008C7FCD" w:rsidRPr="00E84D07">
        <w:rPr>
          <w:color w:val="021142"/>
          <w:spacing w:val="-1"/>
          <w:lang w:val="el-GR"/>
        </w:rPr>
        <w:t>0</w:t>
      </w:r>
      <w:r w:rsidR="001C23C3" w:rsidRPr="001549D5">
        <w:rPr>
          <w:color w:val="021142"/>
          <w:spacing w:val="-1"/>
          <w:lang w:val="el-GR"/>
        </w:rPr>
        <w:t>δισ. στην Ελλάδα, €</w:t>
      </w:r>
      <w:r w:rsidR="00130212">
        <w:rPr>
          <w:color w:val="021142"/>
          <w:spacing w:val="-1"/>
          <w:lang w:val="el-GR"/>
        </w:rPr>
        <w:t>23,</w:t>
      </w:r>
      <w:r w:rsidR="008C7FCD" w:rsidRPr="00E84D07">
        <w:rPr>
          <w:color w:val="021142"/>
          <w:spacing w:val="-1"/>
          <w:lang w:val="el-GR"/>
        </w:rPr>
        <w:t>3</w:t>
      </w:r>
      <w:r w:rsidR="001C23C3" w:rsidRPr="001549D5">
        <w:rPr>
          <w:color w:val="021142"/>
          <w:spacing w:val="-1"/>
          <w:lang w:val="el-GR"/>
        </w:rPr>
        <w:t xml:space="preserve">δισ. στην Κύπρο </w:t>
      </w:r>
      <w:r w:rsidR="00325421" w:rsidRPr="001549D5">
        <w:rPr>
          <w:color w:val="021142"/>
          <w:spacing w:val="-1"/>
          <w:lang w:val="el-GR"/>
        </w:rPr>
        <w:t>και</w:t>
      </w:r>
      <w:r w:rsidR="001C23C3" w:rsidRPr="001549D5">
        <w:rPr>
          <w:color w:val="021142"/>
          <w:spacing w:val="-12"/>
          <w:lang w:val="el-GR"/>
        </w:rPr>
        <w:t xml:space="preserve"> </w:t>
      </w:r>
      <w:r w:rsidR="00325421" w:rsidRPr="001549D5">
        <w:rPr>
          <w:color w:val="021142"/>
          <w:spacing w:val="-1"/>
          <w:lang w:val="el-GR"/>
        </w:rPr>
        <w:t>€</w:t>
      </w:r>
      <w:r w:rsidR="00130212">
        <w:rPr>
          <w:color w:val="021142"/>
          <w:spacing w:val="-1"/>
          <w:lang w:val="el-GR"/>
        </w:rPr>
        <w:t>9,4</w:t>
      </w:r>
      <w:r w:rsidR="00325421" w:rsidRPr="00AF2577">
        <w:rPr>
          <w:color w:val="021142"/>
          <w:spacing w:val="-1"/>
          <w:lang w:val="el-GR"/>
        </w:rPr>
        <w:t>δισ</w:t>
      </w:r>
      <w:r w:rsidR="00325421" w:rsidRPr="001549D5">
        <w:rPr>
          <w:color w:val="021142"/>
          <w:spacing w:val="-1"/>
          <w:lang w:val="el-GR"/>
        </w:rPr>
        <w:t>.</w:t>
      </w:r>
      <w:r w:rsidR="00325421" w:rsidRPr="007E39EC">
        <w:rPr>
          <w:color w:val="021142"/>
          <w:spacing w:val="-1"/>
          <w:lang w:val="el-GR"/>
        </w:rPr>
        <w:t xml:space="preserve"> στη Βουλγαρία. </w:t>
      </w:r>
      <w:r w:rsidRPr="007E39EC">
        <w:rPr>
          <w:color w:val="021142"/>
          <w:lang w:val="el-GR"/>
        </w:rPr>
        <w:t xml:space="preserve">Ο </w:t>
      </w:r>
      <w:r w:rsidRPr="007E39EC">
        <w:rPr>
          <w:b/>
          <w:color w:val="021142"/>
          <w:lang w:val="el-GR"/>
        </w:rPr>
        <w:t>δείκτης χορηγήσεων προς</w:t>
      </w:r>
      <w:r w:rsidRPr="007E39EC">
        <w:rPr>
          <w:b/>
          <w:color w:val="021142"/>
          <w:spacing w:val="1"/>
          <w:lang w:val="el-GR"/>
        </w:rPr>
        <w:t xml:space="preserve"> </w:t>
      </w:r>
      <w:r w:rsidRPr="007E39EC">
        <w:rPr>
          <w:b/>
          <w:color w:val="021142"/>
          <w:spacing w:val="-2"/>
          <w:lang w:val="el-GR"/>
        </w:rPr>
        <w:t>καταθέσεις</w:t>
      </w:r>
      <w:r w:rsidRPr="007E39EC">
        <w:rPr>
          <w:b/>
          <w:color w:val="021142"/>
          <w:spacing w:val="-16"/>
          <w:lang w:val="el-GR"/>
        </w:rPr>
        <w:t xml:space="preserve"> </w:t>
      </w:r>
      <w:r w:rsidR="006E26CE" w:rsidRPr="007E39EC">
        <w:rPr>
          <w:color w:val="021142"/>
          <w:spacing w:val="-2"/>
          <w:lang w:val="el-GR"/>
        </w:rPr>
        <w:t>διαμορφώθηκε</w:t>
      </w:r>
      <w:r w:rsidRPr="007E39EC">
        <w:rPr>
          <w:color w:val="021142"/>
          <w:spacing w:val="-15"/>
          <w:lang w:val="el-GR"/>
        </w:rPr>
        <w:t xml:space="preserve"> </w:t>
      </w:r>
      <w:r w:rsidRPr="007E39EC">
        <w:rPr>
          <w:color w:val="021142"/>
          <w:spacing w:val="-2"/>
          <w:lang w:val="el-GR"/>
        </w:rPr>
        <w:t>σε</w:t>
      </w:r>
      <w:r w:rsidRPr="007E39EC">
        <w:rPr>
          <w:color w:val="021142"/>
          <w:spacing w:val="-16"/>
          <w:lang w:val="el-GR"/>
        </w:rPr>
        <w:t xml:space="preserve"> </w:t>
      </w:r>
      <w:r w:rsidR="00130212">
        <w:rPr>
          <w:color w:val="021142"/>
          <w:spacing w:val="-16"/>
          <w:lang w:val="el-GR"/>
        </w:rPr>
        <w:t>66,9</w:t>
      </w:r>
      <w:r w:rsidRPr="007E39EC">
        <w:rPr>
          <w:color w:val="021142"/>
          <w:spacing w:val="-2"/>
          <w:lang w:val="el-GR"/>
        </w:rPr>
        <w:t>%</w:t>
      </w:r>
      <w:r w:rsidR="006E26CE" w:rsidRPr="007E39EC">
        <w:rPr>
          <w:color w:val="021142"/>
          <w:spacing w:val="-2"/>
          <w:lang w:val="el-GR"/>
        </w:rPr>
        <w:t xml:space="preserve"> και</w:t>
      </w:r>
      <w:r w:rsidRPr="007E39EC">
        <w:rPr>
          <w:color w:val="021142"/>
          <w:spacing w:val="-16"/>
          <w:lang w:val="el-GR"/>
        </w:rPr>
        <w:t xml:space="preserve"> </w:t>
      </w:r>
      <w:r w:rsidR="006E26CE" w:rsidRPr="007E39EC">
        <w:rPr>
          <w:color w:val="021142"/>
          <w:spacing w:val="-16"/>
          <w:lang w:val="el-GR"/>
        </w:rPr>
        <w:t>ο</w:t>
      </w:r>
      <w:r w:rsidRPr="007E39EC">
        <w:rPr>
          <w:color w:val="021142"/>
          <w:spacing w:val="-16"/>
          <w:lang w:val="el-GR"/>
        </w:rPr>
        <w:t xml:space="preserve"> </w:t>
      </w:r>
      <w:r w:rsidRPr="007E39EC">
        <w:rPr>
          <w:b/>
          <w:color w:val="021142"/>
          <w:spacing w:val="-2"/>
          <w:lang w:val="el-GR"/>
        </w:rPr>
        <w:t>δείκτης</w:t>
      </w:r>
      <w:r w:rsidRPr="007E39EC">
        <w:rPr>
          <w:b/>
          <w:color w:val="021142"/>
          <w:spacing w:val="-15"/>
          <w:lang w:val="el-GR"/>
        </w:rPr>
        <w:t xml:space="preserve"> </w:t>
      </w:r>
      <w:r w:rsidRPr="007E39EC">
        <w:rPr>
          <w:b/>
          <w:color w:val="021142"/>
          <w:spacing w:val="-2"/>
          <w:lang w:val="el-GR"/>
        </w:rPr>
        <w:t>κάλυψης</w:t>
      </w:r>
      <w:r w:rsidRPr="007E39EC">
        <w:rPr>
          <w:b/>
          <w:color w:val="021142"/>
          <w:spacing w:val="-16"/>
          <w:lang w:val="el-GR"/>
        </w:rPr>
        <w:t xml:space="preserve"> </w:t>
      </w:r>
      <w:r w:rsidRPr="007E39EC">
        <w:rPr>
          <w:b/>
          <w:color w:val="021142"/>
          <w:spacing w:val="-2"/>
          <w:lang w:val="el-GR"/>
        </w:rPr>
        <w:t>ρευστότητας</w:t>
      </w:r>
      <w:r w:rsidR="001D2C7D" w:rsidRPr="007E39EC">
        <w:rPr>
          <w:b/>
          <w:color w:val="021142"/>
          <w:spacing w:val="-2"/>
          <w:lang w:val="el-GR"/>
        </w:rPr>
        <w:t xml:space="preserve"> </w:t>
      </w:r>
      <w:r w:rsidRPr="007E39EC">
        <w:rPr>
          <w:color w:val="021142"/>
          <w:lang w:val="el-GR"/>
        </w:rPr>
        <w:t>σε</w:t>
      </w:r>
      <w:r w:rsidRPr="007E39EC">
        <w:rPr>
          <w:color w:val="021142"/>
          <w:spacing w:val="-5"/>
          <w:lang w:val="el-GR"/>
        </w:rPr>
        <w:t xml:space="preserve"> </w:t>
      </w:r>
      <w:r w:rsidR="00130212">
        <w:rPr>
          <w:color w:val="021142"/>
          <w:spacing w:val="-5"/>
          <w:lang w:val="el-GR"/>
        </w:rPr>
        <w:t>190,5</w:t>
      </w:r>
      <w:r w:rsidR="006E26CE" w:rsidRPr="007E39EC">
        <w:rPr>
          <w:color w:val="021142"/>
          <w:lang w:val="el-GR"/>
        </w:rPr>
        <w:t xml:space="preserve">% </w:t>
      </w:r>
      <w:r w:rsidR="00FD32FC">
        <w:rPr>
          <w:color w:val="021142"/>
          <w:lang w:val="el-GR"/>
        </w:rPr>
        <w:t xml:space="preserve">στις </w:t>
      </w:r>
      <w:r w:rsidR="00950E8F" w:rsidRPr="007C41E4">
        <w:rPr>
          <w:color w:val="021142"/>
          <w:lang w:val="el-GR"/>
        </w:rPr>
        <w:t xml:space="preserve">30 </w:t>
      </w:r>
      <w:r w:rsidR="00FD32FC" w:rsidRPr="007C41E4">
        <w:rPr>
          <w:color w:val="021142"/>
          <w:lang w:val="el-GR"/>
        </w:rPr>
        <w:t>Ιουνίου 2025</w:t>
      </w:r>
      <w:r w:rsidR="006E26CE" w:rsidRPr="007C41E4">
        <w:rPr>
          <w:bCs/>
          <w:color w:val="021142"/>
          <w:spacing w:val="-8"/>
          <w:lang w:val="el-GR"/>
        </w:rPr>
        <w:t>.</w:t>
      </w:r>
    </w:p>
    <w:p w14:paraId="242AAFDA" w14:textId="77777777" w:rsidR="00B66B55" w:rsidRPr="007C41E4" w:rsidRDefault="00B66B55" w:rsidP="00B66B55">
      <w:pPr>
        <w:pStyle w:val="ListParagraph"/>
        <w:rPr>
          <w:lang w:val="el-GR"/>
        </w:rPr>
      </w:pPr>
    </w:p>
    <w:p w14:paraId="14A8F50C" w14:textId="173D12CB" w:rsidR="00B66B55" w:rsidRPr="0082040B" w:rsidRDefault="00B66B55" w:rsidP="00EB0E41">
      <w:pPr>
        <w:pStyle w:val="ListParagraph"/>
        <w:numPr>
          <w:ilvl w:val="0"/>
          <w:numId w:val="14"/>
        </w:numPr>
        <w:tabs>
          <w:tab w:val="left" w:pos="724"/>
        </w:tabs>
        <w:spacing w:line="237" w:lineRule="auto"/>
        <w:ind w:right="397"/>
        <w:rPr>
          <w:color w:val="021142"/>
          <w:spacing w:val="-13"/>
          <w:lang w:val="el-GR"/>
        </w:rPr>
      </w:pPr>
      <w:r w:rsidRPr="007C41E4">
        <w:rPr>
          <w:b/>
          <w:bCs/>
          <w:color w:val="021142"/>
          <w:spacing w:val="-13"/>
          <w:lang w:val="el-GR"/>
        </w:rPr>
        <w:t xml:space="preserve">Τα υπό διαχείριση </w:t>
      </w:r>
      <w:r w:rsidR="008C4976" w:rsidRPr="007C41E4">
        <w:rPr>
          <w:b/>
          <w:bCs/>
          <w:color w:val="021142"/>
          <w:spacing w:val="-13"/>
          <w:lang w:val="el-GR"/>
        </w:rPr>
        <w:t xml:space="preserve">αμοιβαία </w:t>
      </w:r>
      <w:r w:rsidRPr="007C41E4">
        <w:rPr>
          <w:b/>
          <w:bCs/>
          <w:color w:val="021142"/>
          <w:spacing w:val="-13"/>
          <w:lang w:val="el-GR"/>
        </w:rPr>
        <w:t>κεφάλαια πελατών</w:t>
      </w:r>
      <w:r w:rsidRPr="007C41E4">
        <w:rPr>
          <w:color w:val="021142"/>
          <w:spacing w:val="-13"/>
          <w:lang w:val="el-GR"/>
        </w:rPr>
        <w:t xml:space="preserve"> αυξήθηκαν κατά</w:t>
      </w:r>
      <w:r w:rsidR="00363C0D" w:rsidRPr="007C41E4">
        <w:rPr>
          <w:color w:val="021142"/>
          <w:spacing w:val="-13"/>
          <w:lang w:val="el-GR"/>
        </w:rPr>
        <w:t xml:space="preserve"> </w:t>
      </w:r>
      <w:r w:rsidR="00130212" w:rsidRPr="007C41E4">
        <w:rPr>
          <w:color w:val="021142"/>
          <w:spacing w:val="-13"/>
          <w:lang w:val="el-GR"/>
        </w:rPr>
        <w:t>26</w:t>
      </w:r>
      <w:r w:rsidR="00363C0D" w:rsidRPr="007C41E4">
        <w:rPr>
          <w:color w:val="021142"/>
          <w:spacing w:val="-13"/>
          <w:lang w:val="el-GR"/>
        </w:rPr>
        <w:t>% σε ετήσια βάση και διαμορφώθηκαν σε €</w:t>
      </w:r>
      <w:r w:rsidR="00130212" w:rsidRPr="007C41E4">
        <w:rPr>
          <w:color w:val="021142"/>
          <w:spacing w:val="-13"/>
          <w:lang w:val="el-GR"/>
        </w:rPr>
        <w:t>8,</w:t>
      </w:r>
      <w:r w:rsidR="007C41E4" w:rsidRPr="007C41E4">
        <w:rPr>
          <w:color w:val="021142"/>
          <w:spacing w:val="-13"/>
          <w:lang w:val="el-GR"/>
        </w:rPr>
        <w:t>5</w:t>
      </w:r>
      <w:r w:rsidR="00363C0D" w:rsidRPr="007C41E4">
        <w:rPr>
          <w:color w:val="021142"/>
          <w:spacing w:val="-13"/>
          <w:lang w:val="el-GR"/>
        </w:rPr>
        <w:t xml:space="preserve">δισ. στο τέλος του </w:t>
      </w:r>
      <w:r w:rsidR="00D56F06" w:rsidRPr="007C41E4">
        <w:rPr>
          <w:color w:val="021142"/>
          <w:spacing w:val="-13"/>
          <w:lang w:val="el-GR"/>
        </w:rPr>
        <w:t>Α΄</w:t>
      </w:r>
      <w:r w:rsidR="009C56E3" w:rsidRPr="007C41E4">
        <w:rPr>
          <w:color w:val="021142"/>
          <w:spacing w:val="-13"/>
          <w:lang w:val="el-GR"/>
        </w:rPr>
        <w:t xml:space="preserve"> Εξαμήνου </w:t>
      </w:r>
      <w:r w:rsidR="00D56F06" w:rsidRPr="007C41E4">
        <w:rPr>
          <w:color w:val="021142"/>
          <w:spacing w:val="-13"/>
          <w:lang w:val="el-GR"/>
        </w:rPr>
        <w:t>2025</w:t>
      </w:r>
      <w:r w:rsidR="00363C0D" w:rsidRPr="007C41E4">
        <w:rPr>
          <w:color w:val="021142"/>
          <w:lang w:val="el-GR"/>
        </w:rPr>
        <w:t>.</w:t>
      </w:r>
      <w:r w:rsidR="00290105" w:rsidRPr="007C41E4">
        <w:rPr>
          <w:color w:val="021142"/>
          <w:lang w:val="el-GR"/>
        </w:rPr>
        <w:t xml:space="preserve"> </w:t>
      </w:r>
      <w:r w:rsidR="00BC0DEC">
        <w:rPr>
          <w:color w:val="021142"/>
          <w:spacing w:val="-13"/>
          <w:lang w:val="el-GR"/>
        </w:rPr>
        <w:t>Τ</w:t>
      </w:r>
      <w:r w:rsidR="00290105" w:rsidRPr="0082040B">
        <w:rPr>
          <w:color w:val="021142"/>
          <w:spacing w:val="-13"/>
          <w:lang w:val="el-GR"/>
        </w:rPr>
        <w:t>ο ενεργητικό και παθητικό των private banking πελατών</w:t>
      </w:r>
      <w:r w:rsidR="002544BF" w:rsidRPr="0082040B">
        <w:rPr>
          <w:color w:val="021142"/>
          <w:spacing w:val="-13"/>
          <w:lang w:val="el-GR"/>
        </w:rPr>
        <w:t xml:space="preserve"> </w:t>
      </w:r>
      <w:r w:rsidR="00290105" w:rsidRPr="0082040B">
        <w:rPr>
          <w:color w:val="021142"/>
          <w:spacing w:val="-13"/>
          <w:lang w:val="el-GR"/>
        </w:rPr>
        <w:t xml:space="preserve">ενισχύθηκε κατά </w:t>
      </w:r>
      <w:r w:rsidR="007C41E4" w:rsidRPr="0082040B">
        <w:rPr>
          <w:color w:val="021142"/>
          <w:spacing w:val="-13"/>
          <w:lang w:val="el-GR"/>
        </w:rPr>
        <w:t>11</w:t>
      </w:r>
      <w:r w:rsidR="00290105" w:rsidRPr="0082040B">
        <w:rPr>
          <w:color w:val="021142"/>
          <w:spacing w:val="-13"/>
          <w:lang w:val="el-GR"/>
        </w:rPr>
        <w:t>% σε ετήσια βάση και ανήλθε σε €</w:t>
      </w:r>
      <w:r w:rsidR="007C41E4" w:rsidRPr="0082040B">
        <w:rPr>
          <w:color w:val="021142"/>
          <w:spacing w:val="-13"/>
          <w:lang w:val="el-GR"/>
        </w:rPr>
        <w:t>13,</w:t>
      </w:r>
      <w:r w:rsidR="00B36593" w:rsidRPr="00662765">
        <w:rPr>
          <w:color w:val="021142"/>
          <w:spacing w:val="-13"/>
          <w:lang w:val="el-GR"/>
        </w:rPr>
        <w:t>5</w:t>
      </w:r>
      <w:r w:rsidR="00290105" w:rsidRPr="0082040B">
        <w:rPr>
          <w:color w:val="021142"/>
          <w:spacing w:val="-13"/>
          <w:lang w:val="el-GR"/>
        </w:rPr>
        <w:t>δισ.</w:t>
      </w:r>
    </w:p>
    <w:p w14:paraId="30CD7F56" w14:textId="77777777" w:rsidR="000E580D" w:rsidRPr="00662755" w:rsidRDefault="000E580D" w:rsidP="000E580D">
      <w:pPr>
        <w:pStyle w:val="ListParagraph"/>
        <w:rPr>
          <w:lang w:val="el-GR"/>
        </w:rPr>
      </w:pPr>
    </w:p>
    <w:p w14:paraId="61B37918" w14:textId="77777777" w:rsidR="00E214BF" w:rsidRDefault="00E214BF" w:rsidP="00E214BF">
      <w:pPr>
        <w:pStyle w:val="BodyText"/>
        <w:rPr>
          <w:sz w:val="24"/>
          <w:lang w:val="el-GR"/>
        </w:rPr>
      </w:pPr>
    </w:p>
    <w:p w14:paraId="2C6D2959" w14:textId="77777777" w:rsidR="00D56F06" w:rsidRDefault="00D56F06" w:rsidP="00E214BF">
      <w:pPr>
        <w:pStyle w:val="BodyText"/>
        <w:rPr>
          <w:sz w:val="24"/>
          <w:lang w:val="el-GR"/>
        </w:rPr>
      </w:pPr>
    </w:p>
    <w:p w14:paraId="3D396948" w14:textId="77777777" w:rsidR="00E214BF" w:rsidRDefault="00E214BF" w:rsidP="00E214BF">
      <w:pPr>
        <w:pStyle w:val="BodyText"/>
        <w:rPr>
          <w:sz w:val="24"/>
          <w:lang w:val="el-GR"/>
        </w:rPr>
      </w:pPr>
    </w:p>
    <w:p w14:paraId="5E88C7A5" w14:textId="77777777" w:rsidR="00E214BF" w:rsidRDefault="00E214BF" w:rsidP="00E214BF">
      <w:pPr>
        <w:pStyle w:val="BodyText"/>
        <w:rPr>
          <w:sz w:val="24"/>
          <w:lang w:val="el-GR"/>
        </w:rPr>
      </w:pPr>
    </w:p>
    <w:p w14:paraId="405FF2A3" w14:textId="77777777" w:rsidR="00E214BF" w:rsidRDefault="00E214BF" w:rsidP="00E214BF">
      <w:pPr>
        <w:pStyle w:val="BodyText"/>
        <w:rPr>
          <w:sz w:val="24"/>
          <w:lang w:val="el-GR"/>
        </w:rPr>
      </w:pPr>
    </w:p>
    <w:p w14:paraId="0D36989E" w14:textId="77777777" w:rsidR="00234162" w:rsidRDefault="00234162" w:rsidP="00E214BF">
      <w:pPr>
        <w:pStyle w:val="BodyText"/>
        <w:rPr>
          <w:sz w:val="24"/>
          <w:lang w:val="el-GR"/>
        </w:rPr>
      </w:pPr>
    </w:p>
    <w:p w14:paraId="74951137" w14:textId="77777777" w:rsidR="00234162" w:rsidRDefault="00234162" w:rsidP="00E214BF">
      <w:pPr>
        <w:pStyle w:val="BodyText"/>
        <w:rPr>
          <w:sz w:val="24"/>
          <w:lang w:val="el-GR"/>
        </w:rPr>
      </w:pPr>
    </w:p>
    <w:p w14:paraId="4D2D599D" w14:textId="77777777" w:rsidR="00EA2E24" w:rsidRPr="00662765" w:rsidRDefault="00EA2E24" w:rsidP="00E214BF">
      <w:pPr>
        <w:pStyle w:val="BodyText"/>
        <w:rPr>
          <w:sz w:val="24"/>
          <w:lang w:val="el-GR"/>
        </w:rPr>
      </w:pPr>
    </w:p>
    <w:p w14:paraId="39088CD5" w14:textId="77777777" w:rsidR="00EA2E24" w:rsidRPr="00662765" w:rsidRDefault="00EA2E24" w:rsidP="00E214BF">
      <w:pPr>
        <w:pStyle w:val="BodyText"/>
        <w:rPr>
          <w:sz w:val="24"/>
          <w:lang w:val="el-GR"/>
        </w:rPr>
      </w:pPr>
    </w:p>
    <w:p w14:paraId="19D345BE" w14:textId="77777777" w:rsidR="00EA2E24" w:rsidRPr="00662765" w:rsidRDefault="00EA2E24" w:rsidP="00E214BF">
      <w:pPr>
        <w:pStyle w:val="BodyText"/>
        <w:rPr>
          <w:sz w:val="24"/>
          <w:lang w:val="el-GR"/>
        </w:rPr>
      </w:pPr>
    </w:p>
    <w:p w14:paraId="15667B17" w14:textId="77777777" w:rsidR="00EA2E24" w:rsidRPr="00662765" w:rsidRDefault="00EA2E24" w:rsidP="00E214BF">
      <w:pPr>
        <w:pStyle w:val="BodyText"/>
        <w:rPr>
          <w:sz w:val="24"/>
          <w:lang w:val="el-GR"/>
        </w:rPr>
      </w:pPr>
    </w:p>
    <w:p w14:paraId="53787664" w14:textId="77777777" w:rsidR="006F607C" w:rsidRPr="00913FF3" w:rsidRDefault="006F607C" w:rsidP="00E214BF">
      <w:pPr>
        <w:pStyle w:val="BodyText"/>
        <w:rPr>
          <w:sz w:val="24"/>
          <w:lang w:val="el-GR"/>
        </w:rPr>
      </w:pPr>
    </w:p>
    <w:p w14:paraId="183C4C15" w14:textId="77777777" w:rsidR="006F607C" w:rsidRPr="00913FF3" w:rsidRDefault="006F607C" w:rsidP="00E214BF">
      <w:pPr>
        <w:pStyle w:val="BodyText"/>
        <w:rPr>
          <w:sz w:val="24"/>
          <w:lang w:val="el-GR"/>
        </w:rPr>
      </w:pPr>
    </w:p>
    <w:p w14:paraId="0945C0F1" w14:textId="77777777" w:rsidR="006F607C" w:rsidRPr="00C6706F" w:rsidRDefault="006F607C" w:rsidP="00E214BF">
      <w:pPr>
        <w:pStyle w:val="BodyText"/>
        <w:rPr>
          <w:sz w:val="24"/>
          <w:lang w:val="el-GR"/>
        </w:rPr>
      </w:pPr>
    </w:p>
    <w:p w14:paraId="2293E07F" w14:textId="77777777" w:rsidR="00435D86" w:rsidRPr="00C6706F" w:rsidRDefault="00435D86" w:rsidP="00E214BF">
      <w:pPr>
        <w:pStyle w:val="BodyText"/>
        <w:rPr>
          <w:sz w:val="24"/>
          <w:lang w:val="el-GR"/>
        </w:rPr>
      </w:pPr>
    </w:p>
    <w:p w14:paraId="71DE3BC7" w14:textId="77777777" w:rsidR="006F607C" w:rsidRPr="00913FF3" w:rsidRDefault="006F607C" w:rsidP="00E214BF">
      <w:pPr>
        <w:pStyle w:val="BodyText"/>
        <w:rPr>
          <w:sz w:val="24"/>
          <w:lang w:val="el-GR"/>
        </w:rPr>
      </w:pPr>
    </w:p>
    <w:p w14:paraId="4E9E483B" w14:textId="77777777" w:rsidR="006F607C" w:rsidRPr="00C6706F" w:rsidRDefault="006F607C" w:rsidP="00E214BF">
      <w:pPr>
        <w:pStyle w:val="BodyText"/>
        <w:rPr>
          <w:sz w:val="24"/>
          <w:lang w:val="el-GR"/>
        </w:rPr>
      </w:pPr>
    </w:p>
    <w:p w14:paraId="22C1EFD7" w14:textId="77777777" w:rsidR="00435D86" w:rsidRPr="00C6706F" w:rsidRDefault="00435D86" w:rsidP="00E214BF">
      <w:pPr>
        <w:pStyle w:val="BodyText"/>
        <w:rPr>
          <w:sz w:val="24"/>
          <w:lang w:val="el-GR"/>
        </w:rPr>
      </w:pPr>
    </w:p>
    <w:p w14:paraId="7166C542" w14:textId="77777777" w:rsidR="00435D86" w:rsidRPr="00C6706F" w:rsidRDefault="00435D86" w:rsidP="00E214BF">
      <w:pPr>
        <w:pStyle w:val="BodyText"/>
        <w:rPr>
          <w:sz w:val="24"/>
          <w:lang w:val="el-GR"/>
        </w:rPr>
      </w:pPr>
    </w:p>
    <w:p w14:paraId="3C3BB903" w14:textId="77777777" w:rsidR="00435D86" w:rsidRPr="00C6706F" w:rsidRDefault="00435D86" w:rsidP="00E214BF">
      <w:pPr>
        <w:pStyle w:val="BodyText"/>
        <w:rPr>
          <w:sz w:val="24"/>
          <w:lang w:val="el-GR"/>
        </w:rPr>
      </w:pPr>
    </w:p>
    <w:p w14:paraId="4EAA1CF5" w14:textId="77777777" w:rsidR="00435D86" w:rsidRPr="00C6706F" w:rsidRDefault="00435D86" w:rsidP="00E214BF">
      <w:pPr>
        <w:pStyle w:val="BodyText"/>
        <w:rPr>
          <w:sz w:val="24"/>
          <w:lang w:val="el-GR"/>
        </w:rPr>
      </w:pPr>
    </w:p>
    <w:p w14:paraId="1451ED16" w14:textId="77777777" w:rsidR="00435D86" w:rsidRPr="00C6706F" w:rsidRDefault="00435D86" w:rsidP="00E214BF">
      <w:pPr>
        <w:pStyle w:val="BodyText"/>
        <w:rPr>
          <w:sz w:val="24"/>
          <w:lang w:val="el-GR"/>
        </w:rPr>
      </w:pPr>
    </w:p>
    <w:p w14:paraId="13708121" w14:textId="77777777" w:rsidR="00435D86" w:rsidRPr="00C6706F" w:rsidRDefault="00435D86" w:rsidP="00E214BF">
      <w:pPr>
        <w:pStyle w:val="BodyText"/>
        <w:rPr>
          <w:sz w:val="24"/>
          <w:lang w:val="el-GR"/>
        </w:rPr>
      </w:pPr>
    </w:p>
    <w:p w14:paraId="23C27C6F" w14:textId="77777777" w:rsidR="00435D86" w:rsidRPr="00C6706F" w:rsidRDefault="00435D86" w:rsidP="00E214BF">
      <w:pPr>
        <w:pStyle w:val="BodyText"/>
        <w:rPr>
          <w:sz w:val="24"/>
          <w:lang w:val="el-GR"/>
        </w:rPr>
      </w:pPr>
    </w:p>
    <w:p w14:paraId="00B0191C" w14:textId="77777777" w:rsidR="00435D86" w:rsidRPr="00C6706F" w:rsidRDefault="00435D86" w:rsidP="00E214BF">
      <w:pPr>
        <w:pStyle w:val="BodyText"/>
        <w:rPr>
          <w:sz w:val="24"/>
          <w:lang w:val="el-GR"/>
        </w:rPr>
      </w:pPr>
    </w:p>
    <w:p w14:paraId="6BAE5F4C" w14:textId="77777777" w:rsidR="00030208" w:rsidRPr="00E7027D" w:rsidRDefault="00030208" w:rsidP="00E214BF">
      <w:pPr>
        <w:pStyle w:val="BodyText"/>
        <w:rPr>
          <w:sz w:val="24"/>
          <w:lang w:val="el-GR"/>
        </w:rPr>
      </w:pPr>
    </w:p>
    <w:p w14:paraId="662BCE3D" w14:textId="77777777" w:rsidR="00EA2E24" w:rsidRPr="00662765" w:rsidRDefault="00EA2E24" w:rsidP="00E214BF">
      <w:pPr>
        <w:pStyle w:val="BodyText"/>
        <w:rPr>
          <w:sz w:val="24"/>
          <w:lang w:val="el-GR"/>
        </w:rPr>
      </w:pPr>
    </w:p>
    <w:p w14:paraId="480FD5B4" w14:textId="77777777" w:rsidR="00234162" w:rsidRDefault="00234162" w:rsidP="00E214BF">
      <w:pPr>
        <w:pStyle w:val="BodyText"/>
        <w:rPr>
          <w:sz w:val="24"/>
          <w:lang w:val="el-GR"/>
        </w:rPr>
      </w:pPr>
    </w:p>
    <w:p w14:paraId="72780919" w14:textId="187C4E89" w:rsidR="005B0018" w:rsidRPr="0038746B" w:rsidRDefault="00EC0963" w:rsidP="005B0018">
      <w:pPr>
        <w:ind w:left="260" w:right="340"/>
        <w:jc w:val="both"/>
        <w:rPr>
          <w:color w:val="021142"/>
          <w:sz w:val="14"/>
          <w:szCs w:val="14"/>
          <w:lang w:val="el-GR"/>
        </w:rPr>
      </w:pPr>
      <w:r w:rsidRPr="00E84D07">
        <w:rPr>
          <w:color w:val="021142"/>
          <w:sz w:val="14"/>
          <w:szCs w:val="14"/>
          <w:lang w:val="el-GR"/>
        </w:rPr>
        <w:t>6</w:t>
      </w:r>
      <w:r w:rsidR="005B0018" w:rsidRPr="00B55766">
        <w:rPr>
          <w:color w:val="021142"/>
          <w:sz w:val="14"/>
          <w:szCs w:val="14"/>
          <w:lang w:val="el-GR"/>
        </w:rPr>
        <w:t xml:space="preserve"> </w:t>
      </w:r>
      <w:r w:rsidR="007526BA">
        <w:rPr>
          <w:color w:val="021142"/>
          <w:sz w:val="14"/>
          <w:szCs w:val="14"/>
          <w:lang w:val="en-GB"/>
        </w:rPr>
        <w:t>Pro</w:t>
      </w:r>
      <w:r w:rsidR="007526BA" w:rsidRPr="00E84D07">
        <w:rPr>
          <w:color w:val="021142"/>
          <w:sz w:val="14"/>
          <w:szCs w:val="14"/>
          <w:lang w:val="el-GR"/>
        </w:rPr>
        <w:t>-</w:t>
      </w:r>
      <w:r w:rsidR="007526BA">
        <w:rPr>
          <w:color w:val="021142"/>
          <w:sz w:val="14"/>
          <w:szCs w:val="14"/>
          <w:lang w:val="en-GB"/>
        </w:rPr>
        <w:t>forma</w:t>
      </w:r>
      <w:r w:rsidR="007526BA" w:rsidRPr="00E84D07">
        <w:rPr>
          <w:color w:val="021142"/>
          <w:sz w:val="14"/>
          <w:szCs w:val="14"/>
          <w:lang w:val="el-GR"/>
        </w:rPr>
        <w:t xml:space="preserve"> </w:t>
      </w:r>
      <w:r w:rsidR="005B0018" w:rsidRPr="0038746B">
        <w:rPr>
          <w:color w:val="021142"/>
          <w:sz w:val="14"/>
          <w:szCs w:val="14"/>
          <w:lang w:val="el-GR"/>
        </w:rPr>
        <w:t xml:space="preserve">για τις συναλλαγές «Solar» και της συνθετικής τιτλοποίησης. Λαμβάνοντας υπόψη την πρόβλεψη διανομής κερδών. </w:t>
      </w:r>
      <w:r w:rsidR="005B0018" w:rsidRPr="0082040B">
        <w:rPr>
          <w:color w:val="021142"/>
          <w:sz w:val="14"/>
          <w:szCs w:val="14"/>
          <w:lang w:val="el-GR"/>
        </w:rPr>
        <w:t>Περιλαμβανομένων των κερδών περιόδου που τελούν υπό την έγκριση της Γενικής Συνέλευσης των Μετόχων.</w:t>
      </w:r>
      <w:r w:rsidR="005B0018" w:rsidRPr="00E16D64">
        <w:rPr>
          <w:color w:val="021142"/>
          <w:sz w:val="14"/>
          <w:szCs w:val="14"/>
          <w:lang w:val="el-GR"/>
        </w:rPr>
        <w:t xml:space="preserve"> Η διανομή κερδών υπόκειται </w:t>
      </w:r>
      <w:r w:rsidR="00647F03" w:rsidRPr="00E16D64">
        <w:rPr>
          <w:color w:val="021142"/>
          <w:sz w:val="14"/>
          <w:szCs w:val="14"/>
          <w:lang w:val="el-GR"/>
        </w:rPr>
        <w:t>σε έγκριση</w:t>
      </w:r>
      <w:r w:rsidR="00647F03" w:rsidRPr="00647F03">
        <w:rPr>
          <w:color w:val="021142"/>
          <w:sz w:val="14"/>
          <w:szCs w:val="14"/>
          <w:lang w:val="el-GR"/>
        </w:rPr>
        <w:t xml:space="preserve"> </w:t>
      </w:r>
      <w:r w:rsidR="00647F03">
        <w:rPr>
          <w:color w:val="021142"/>
          <w:sz w:val="14"/>
          <w:szCs w:val="14"/>
          <w:lang w:val="el-GR"/>
        </w:rPr>
        <w:t>από τις Εποπτικές Αρχές και τη Γενική Συνέλευση των Μετόχων</w:t>
      </w:r>
      <w:r w:rsidR="005B0018" w:rsidRPr="00E16D64">
        <w:rPr>
          <w:color w:val="021142"/>
          <w:sz w:val="14"/>
          <w:szCs w:val="14"/>
          <w:lang w:val="el-GR"/>
        </w:rPr>
        <w:t>.</w:t>
      </w:r>
    </w:p>
    <w:p w14:paraId="5FC3DEDD" w14:textId="77777777" w:rsidR="00880FEF" w:rsidRDefault="00880FEF" w:rsidP="00E214BF">
      <w:pPr>
        <w:pStyle w:val="BodyText"/>
        <w:rPr>
          <w:sz w:val="24"/>
          <w:lang w:val="el-GR"/>
        </w:rPr>
      </w:pPr>
    </w:p>
    <w:p w14:paraId="248F9489" w14:textId="77777777" w:rsidR="00435D86" w:rsidRPr="00647F03" w:rsidRDefault="00435D86" w:rsidP="00FD5275">
      <w:pPr>
        <w:tabs>
          <w:tab w:val="left" w:pos="5606"/>
          <w:tab w:val="right" w:pos="11030"/>
        </w:tabs>
        <w:ind w:left="241"/>
        <w:rPr>
          <w:sz w:val="11"/>
          <w:lang w:val="el-GR"/>
        </w:rPr>
      </w:pPr>
    </w:p>
    <w:p w14:paraId="062362FA" w14:textId="77777777" w:rsidR="00435D86" w:rsidRPr="00647F03" w:rsidRDefault="00435D86" w:rsidP="00FD5275">
      <w:pPr>
        <w:tabs>
          <w:tab w:val="left" w:pos="5606"/>
          <w:tab w:val="right" w:pos="11030"/>
        </w:tabs>
        <w:ind w:left="241"/>
        <w:rPr>
          <w:sz w:val="11"/>
          <w:lang w:val="el-GR"/>
        </w:rPr>
      </w:pPr>
    </w:p>
    <w:p w14:paraId="60BDE20D" w14:textId="77777777" w:rsidR="00C6706F" w:rsidRPr="00647F03" w:rsidRDefault="00C6706F" w:rsidP="00FD5275">
      <w:pPr>
        <w:tabs>
          <w:tab w:val="left" w:pos="5606"/>
          <w:tab w:val="right" w:pos="11030"/>
        </w:tabs>
        <w:ind w:left="241"/>
        <w:rPr>
          <w:sz w:val="11"/>
          <w:lang w:val="el-GR"/>
        </w:rPr>
      </w:pPr>
    </w:p>
    <w:p w14:paraId="06B15F18" w14:textId="334200BF" w:rsidR="002268C2" w:rsidRPr="002268C2" w:rsidRDefault="00A468D4" w:rsidP="00FD5275">
      <w:pPr>
        <w:tabs>
          <w:tab w:val="left" w:pos="5606"/>
          <w:tab w:val="right" w:pos="11030"/>
        </w:tabs>
        <w:ind w:left="241"/>
        <w:rPr>
          <w:sz w:val="11"/>
          <w:lang w:val="el-GR"/>
        </w:rPr>
      </w:pPr>
      <w:r w:rsidRPr="002268C2">
        <w:rPr>
          <w:noProof/>
          <w:sz w:val="20"/>
          <w:lang w:val="el-GR" w:eastAsia="el-GR"/>
        </w:rPr>
        <mc:AlternateContent>
          <mc:Choice Requires="wps">
            <w:drawing>
              <wp:anchor distT="36576" distB="36576" distL="36576" distR="36576" simplePos="0" relativeHeight="487592960" behindDoc="0" locked="0" layoutInCell="1" allowOverlap="1" wp14:anchorId="24302659" wp14:editId="5747CE79">
                <wp:simplePos x="0" y="0"/>
                <wp:positionH relativeFrom="column">
                  <wp:posOffset>417830</wp:posOffset>
                </wp:positionH>
                <wp:positionV relativeFrom="paragraph">
                  <wp:posOffset>115461</wp:posOffset>
                </wp:positionV>
                <wp:extent cx="2390775" cy="378460"/>
                <wp:effectExtent l="0" t="0" r="9525" b="254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90775" cy="378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680001" w14:textId="77777777" w:rsidR="002268C2" w:rsidRPr="002268C2" w:rsidRDefault="002268C2" w:rsidP="002268C2">
                            <w:pPr>
                              <w:jc w:val="center"/>
                              <w:rPr>
                                <w:rFonts w:cs="Arial"/>
                                <w:bCs/>
                                <w:color w:val="021342"/>
                                <w:lang w:val="el-GR"/>
                              </w:rPr>
                            </w:pPr>
                            <w:r w:rsidRPr="002268C2">
                              <w:rPr>
                                <w:rFonts w:cs="Arial"/>
                                <w:bCs/>
                                <w:color w:val="021342"/>
                                <w:lang w:val="el-GR"/>
                              </w:rPr>
                              <w:t>Προσαρμοσμένα Καθαρά Κέρδη</w:t>
                            </w:r>
                          </w:p>
                          <w:p w14:paraId="18D4D845" w14:textId="77777777" w:rsidR="002268C2" w:rsidRPr="002268C2" w:rsidRDefault="002268C2" w:rsidP="002268C2">
                            <w:pPr>
                              <w:jc w:val="center"/>
                              <w:rPr>
                                <w:rFonts w:cs="Arial"/>
                                <w:bCs/>
                                <w:color w:val="021342"/>
                                <w:lang w:val="el-GR"/>
                              </w:rPr>
                            </w:pPr>
                            <w:r w:rsidRPr="002268C2">
                              <w:rPr>
                                <w:rFonts w:cs="Arial"/>
                                <w:bCs/>
                                <w:color w:val="021342"/>
                                <w:lang w:val="el-GR"/>
                              </w:rPr>
                              <w:t>(€εκ.)</w:t>
                            </w:r>
                          </w:p>
                          <w:p w14:paraId="3879817E" w14:textId="77777777" w:rsidR="002268C2" w:rsidRPr="002268C2" w:rsidRDefault="002268C2" w:rsidP="002268C2">
                            <w:pPr>
                              <w:jc w:val="center"/>
                              <w:rPr>
                                <w:rFonts w:cs="Arial"/>
                                <w:bCs/>
                                <w:color w:val="021342"/>
                                <w:lang w:val="el-GR"/>
                              </w:rPr>
                            </w:pPr>
                          </w:p>
                          <w:p w14:paraId="2869A1FB" w14:textId="77777777" w:rsidR="002268C2" w:rsidRPr="002268C2" w:rsidRDefault="002268C2" w:rsidP="002268C2">
                            <w:pPr>
                              <w:jc w:val="center"/>
                              <w:rPr>
                                <w:rFonts w:cs="Arial"/>
                                <w:bCs/>
                                <w:color w:val="021342"/>
                                <w:lang w:val="el-GR"/>
                              </w:rPr>
                            </w:pPr>
                            <w:r w:rsidRPr="002268C2">
                              <w:rPr>
                                <w:rFonts w:cs="Arial"/>
                                <w:bCs/>
                                <w:color w:val="021342"/>
                                <w:lang w:val="el-GR"/>
                              </w:rPr>
                              <w:t>(€εκ.)</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02659" id="_x0000_t202" coordsize="21600,21600" o:spt="202" path="m,l,21600r21600,l21600,xe">
                <v:stroke joinstyle="miter"/>
                <v:path gradientshapeok="t" o:connecttype="rect"/>
              </v:shapetype>
              <v:shape id="Text Box 48" o:spid="_x0000_s1026" type="#_x0000_t202" style="position:absolute;left:0;text-align:left;margin-left:32.9pt;margin-top:9.1pt;width:188.25pt;height:29.8pt;z-index:487592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" filled="f" stroked="f" strokeweight="0" insetpen="t">
                <o:lock v:ext="edit" shapetype="t"/>
                <v:textbox inset="2.85pt,2.85pt,2.85pt,2.85pt">
                  <w:txbxContent>
                    <w:p w14:paraId="08680001" w14:textId="77777777" w:rsidR="002268C2" w:rsidRPr="002268C2" w:rsidRDefault="002268C2" w:rsidP="002268C2">
                      <w:pPr>
                        <w:jc w:val="center"/>
                        <w:rPr>
                          <w:rFonts w:cs="Arial"/>
                          <w:bCs/>
                          <w:color w:val="021342"/>
                          <w:lang w:val="el-GR"/>
                        </w:rPr>
                      </w:pPr>
                      <w:r w:rsidRPr="002268C2">
                        <w:rPr>
                          <w:rFonts w:cs="Arial"/>
                          <w:bCs/>
                          <w:color w:val="021342"/>
                          <w:lang w:val="el-GR"/>
                        </w:rPr>
                        <w:t>Προσαρμοσμένα Καθαρά Κέρδη</w:t>
                      </w:r>
                    </w:p>
                    <w:p w14:paraId="18D4D845" w14:textId="77777777" w:rsidR="002268C2" w:rsidRPr="002268C2" w:rsidRDefault="002268C2" w:rsidP="002268C2">
                      <w:pPr>
                        <w:jc w:val="center"/>
                        <w:rPr>
                          <w:rFonts w:cs="Arial"/>
                          <w:bCs/>
                          <w:color w:val="021342"/>
                          <w:lang w:val="el-GR"/>
                        </w:rPr>
                      </w:pPr>
                      <w:r w:rsidRPr="002268C2">
                        <w:rPr>
                          <w:rFonts w:cs="Arial"/>
                          <w:bCs/>
                          <w:color w:val="021342"/>
                          <w:lang w:val="el-GR"/>
                        </w:rPr>
                        <w:t>(€εκ.)</w:t>
                      </w:r>
                    </w:p>
                    <w:p w14:paraId="3879817E" w14:textId="77777777" w:rsidR="002268C2" w:rsidRPr="002268C2" w:rsidRDefault="002268C2" w:rsidP="002268C2">
                      <w:pPr>
                        <w:jc w:val="center"/>
                        <w:rPr>
                          <w:rFonts w:cs="Arial"/>
                          <w:bCs/>
                          <w:color w:val="021342"/>
                          <w:lang w:val="el-GR"/>
                        </w:rPr>
                      </w:pPr>
                    </w:p>
                    <w:p w14:paraId="2869A1FB" w14:textId="77777777" w:rsidR="002268C2" w:rsidRPr="002268C2" w:rsidRDefault="002268C2" w:rsidP="002268C2">
                      <w:pPr>
                        <w:jc w:val="center"/>
                        <w:rPr>
                          <w:rFonts w:cs="Arial"/>
                          <w:bCs/>
                          <w:color w:val="021342"/>
                          <w:lang w:val="el-GR"/>
                        </w:rPr>
                      </w:pPr>
                      <w:r w:rsidRPr="002268C2">
                        <w:rPr>
                          <w:rFonts w:cs="Arial"/>
                          <w:bCs/>
                          <w:color w:val="021342"/>
                          <w:lang w:val="el-GR"/>
                        </w:rPr>
                        <w:t>(€εκ.)</w:t>
                      </w:r>
                    </w:p>
                  </w:txbxContent>
                </v:textbox>
              </v:shape>
            </w:pict>
          </mc:Fallback>
        </mc:AlternateContent>
      </w:r>
      <w:r w:rsidR="002268C2" w:rsidRPr="002268C2">
        <w:rPr>
          <w:noProof/>
          <w:sz w:val="20"/>
          <w:lang w:val="el-GR" w:eastAsia="el-GR"/>
        </w:rPr>
        <mc:AlternateContent>
          <mc:Choice Requires="wps">
            <w:drawing>
              <wp:anchor distT="36576" distB="36576" distL="36576" distR="36576" simplePos="0" relativeHeight="487593984" behindDoc="1" locked="0" layoutInCell="1" allowOverlap="1" wp14:anchorId="222BE25B" wp14:editId="78C8D16B">
                <wp:simplePos x="0" y="0"/>
                <wp:positionH relativeFrom="column">
                  <wp:posOffset>180340</wp:posOffset>
                </wp:positionH>
                <wp:positionV relativeFrom="paragraph">
                  <wp:posOffset>19685</wp:posOffset>
                </wp:positionV>
                <wp:extent cx="2990850" cy="2598420"/>
                <wp:effectExtent l="0" t="0" r="0" b="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90850" cy="2598420"/>
                        </a:xfrm>
                        <a:prstGeom prst="roundRect">
                          <a:avLst>
                            <a:gd name="adj" fmla="val 0"/>
                          </a:avLst>
                        </a:prstGeom>
                        <a:solidFill>
                          <a:srgbClr val="DFE4E9"/>
                        </a:solidFill>
                        <a:ln>
                          <a:noFill/>
                        </a:ln>
                        <a:effectLst/>
                        <a:extLst>
                          <a:ext uri="{91240B29-F687-4F45-9708-019B960494DF}">
                            <a14:hiddenLine xmlns:a14="http://schemas.microsoft.com/office/drawing/2010/main" w="9525" algn="in">
                              <a:solidFill>
                                <a:srgbClr val="000066"/>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oundrect w14:anchorId="59C02915" id="Rounded Rectangle 45" o:spid="_x0000_s1026" style="position:absolute;margin-left:14.2pt;margin-top:1.55pt;width:235.5pt;height:204.6pt;z-index:-15722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" fillcolor="#dfe4e9" stroked="f" strokecolor="#006" insetpen="t">
                <v:shadow color="#ccc"/>
                <o:lock v:ext="edit" shapetype="t"/>
                <v:textbox inset="2.88pt,2.88pt,2.88pt,2.88pt"/>
              </v:roundrect>
            </w:pict>
          </mc:Fallback>
        </mc:AlternateContent>
      </w:r>
      <w:r w:rsidR="002268C2" w:rsidRPr="002268C2">
        <w:rPr>
          <w:noProof/>
          <w:sz w:val="11"/>
          <w:lang w:val="el-GR" w:eastAsia="el-GR"/>
        </w:rPr>
        <mc:AlternateContent>
          <mc:Choice Requires="wps">
            <w:drawing>
              <wp:anchor distT="36576" distB="36576" distL="36576" distR="36576" simplePos="0" relativeHeight="487598080" behindDoc="1" locked="0" layoutInCell="1" allowOverlap="1" wp14:anchorId="3554C2FA" wp14:editId="00AA0372">
                <wp:simplePos x="0" y="0"/>
                <wp:positionH relativeFrom="column">
                  <wp:posOffset>3500755</wp:posOffset>
                </wp:positionH>
                <wp:positionV relativeFrom="paragraph">
                  <wp:posOffset>22860</wp:posOffset>
                </wp:positionV>
                <wp:extent cx="3086100" cy="2598420"/>
                <wp:effectExtent l="0" t="0" r="0" b="0"/>
                <wp:wrapNone/>
                <wp:docPr id="4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086100" cy="2598420"/>
                        </a:xfrm>
                        <a:prstGeom prst="roundRect">
                          <a:avLst>
                            <a:gd name="adj" fmla="val 0"/>
                          </a:avLst>
                        </a:prstGeom>
                        <a:solidFill>
                          <a:srgbClr val="DFE4E9"/>
                        </a:solidFill>
                        <a:ln>
                          <a:noFill/>
                        </a:ln>
                        <a:effectLst/>
                        <a:extLst>
                          <a:ext uri="{91240B29-F687-4F45-9708-019B960494DF}">
                            <a14:hiddenLine xmlns:a14="http://schemas.microsoft.com/office/drawing/2010/main" w="9525" algn="in">
                              <a:solidFill>
                                <a:srgbClr val="000066"/>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oundrect w14:anchorId="01143632" id="Rounded Rectangle 47" o:spid="_x0000_s1026" style="position:absolute;margin-left:275.65pt;margin-top:1.8pt;width:243pt;height:204.6pt;z-index:-15718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" fillcolor="#dfe4e9" stroked="f" strokecolor="#006" insetpen="t">
                <v:shadow color="#ccc"/>
                <o:lock v:ext="edit" shapetype="t"/>
                <v:textbox inset="2.88pt,2.88pt,2.88pt,2.88pt"/>
              </v:roundrect>
            </w:pict>
          </mc:Fallback>
        </mc:AlternateContent>
      </w:r>
      <w:r w:rsidR="002268C2" w:rsidRPr="002268C2">
        <w:rPr>
          <w:noProof/>
          <w:sz w:val="11"/>
          <w:lang w:val="el-GR" w:eastAsia="el-GR"/>
        </w:rPr>
        <mc:AlternateContent>
          <mc:Choice Requires="wps">
            <w:drawing>
              <wp:anchor distT="36576" distB="36576" distL="36576" distR="36576" simplePos="0" relativeHeight="487597056" behindDoc="0" locked="0" layoutInCell="1" allowOverlap="1" wp14:anchorId="22E0206B" wp14:editId="4A38D0AB">
                <wp:simplePos x="0" y="0"/>
                <wp:positionH relativeFrom="column">
                  <wp:posOffset>3522167</wp:posOffset>
                </wp:positionH>
                <wp:positionV relativeFrom="paragraph">
                  <wp:posOffset>80010</wp:posOffset>
                </wp:positionV>
                <wp:extent cx="2781300" cy="473710"/>
                <wp:effectExtent l="0" t="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81300" cy="4737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EDFD7A" w14:textId="77777777" w:rsidR="002268C2" w:rsidRPr="004D2A84" w:rsidRDefault="004D2A84" w:rsidP="00171B44">
                            <w:pPr>
                              <w:jc w:val="center"/>
                              <w:rPr>
                                <w:rFonts w:cs="Arial"/>
                                <w:bCs/>
                                <w:color w:val="021342"/>
                                <w:lang w:val="el-GR"/>
                              </w:rPr>
                            </w:pPr>
                            <w:r>
                              <w:rPr>
                                <w:rFonts w:cs="Arial"/>
                                <w:bCs/>
                                <w:color w:val="021342"/>
                                <w:lang w:val="el-GR"/>
                              </w:rPr>
                              <w:t>Οργανικά Λειτουργικά Κέρδη</w:t>
                            </w:r>
                          </w:p>
                          <w:p w14:paraId="61220829" w14:textId="77777777" w:rsidR="002268C2" w:rsidRPr="00604B3F" w:rsidRDefault="002268C2" w:rsidP="00171B44">
                            <w:pPr>
                              <w:jc w:val="center"/>
                              <w:rPr>
                                <w:rFonts w:cs="Arial"/>
                                <w:bCs/>
                                <w:color w:val="021342"/>
                              </w:rPr>
                            </w:pPr>
                            <w:r w:rsidRPr="00604B3F">
                              <w:rPr>
                                <w:rFonts w:cs="Arial"/>
                                <w:bCs/>
                                <w:color w:val="021342"/>
                              </w:rPr>
                              <w:t>(€εκ.)</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0206B" id="Text Box 6" o:spid="_x0000_s1027" type="#_x0000_t202" style="position:absolute;left:0;text-align:left;margin-left:277.35pt;margin-top:6.3pt;width:219pt;height:37.3pt;z-index:487597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" filled="f" stroked="f" strokeweight="0" insetpen="t">
                <o:lock v:ext="edit" shapetype="t"/>
                <v:textbox inset="2.85pt,2.85pt,2.85pt,2.85pt">
                  <w:txbxContent>
                    <w:p w14:paraId="4CEDFD7A" w14:textId="77777777" w:rsidR="002268C2" w:rsidRPr="004D2A84" w:rsidRDefault="004D2A84" w:rsidP="00171B44">
                      <w:pPr>
                        <w:jc w:val="center"/>
                        <w:rPr>
                          <w:rFonts w:cs="Arial"/>
                          <w:bCs/>
                          <w:color w:val="021342"/>
                          <w:lang w:val="el-GR"/>
                        </w:rPr>
                      </w:pPr>
                      <w:r>
                        <w:rPr>
                          <w:rFonts w:cs="Arial"/>
                          <w:bCs/>
                          <w:color w:val="021342"/>
                          <w:lang w:val="el-GR"/>
                        </w:rPr>
                        <w:t>Οργανικά Λειτουργικά Κέρδη</w:t>
                      </w:r>
                    </w:p>
                    <w:p w14:paraId="61220829" w14:textId="77777777" w:rsidR="002268C2" w:rsidRPr="00604B3F" w:rsidRDefault="002268C2" w:rsidP="00171B44">
                      <w:pPr>
                        <w:jc w:val="center"/>
                        <w:rPr>
                          <w:rFonts w:cs="Arial"/>
                          <w:bCs/>
                          <w:color w:val="021342"/>
                        </w:rPr>
                      </w:pPr>
                      <w:r w:rsidRPr="00604B3F">
                        <w:rPr>
                          <w:rFonts w:cs="Arial"/>
                          <w:bCs/>
                          <w:color w:val="021342"/>
                        </w:rPr>
                        <w:t>(€εκ.)</w:t>
                      </w:r>
                    </w:p>
                  </w:txbxContent>
                </v:textbox>
              </v:shape>
            </w:pict>
          </mc:Fallback>
        </mc:AlternateContent>
      </w:r>
    </w:p>
    <w:p w14:paraId="5D99C142" w14:textId="77777777" w:rsidR="002268C2" w:rsidRPr="002268C2" w:rsidRDefault="002268C2" w:rsidP="002268C2">
      <w:pPr>
        <w:rPr>
          <w:sz w:val="11"/>
          <w:lang w:val="el-GR"/>
        </w:rPr>
      </w:pPr>
    </w:p>
    <w:p w14:paraId="6E97DAE3" w14:textId="77777777" w:rsidR="002268C2" w:rsidRPr="002268C2" w:rsidRDefault="002268C2" w:rsidP="002268C2">
      <w:pPr>
        <w:rPr>
          <w:sz w:val="11"/>
          <w:lang w:val="el-GR"/>
        </w:rPr>
      </w:pPr>
    </w:p>
    <w:p w14:paraId="52B53578" w14:textId="77777777" w:rsidR="002268C2" w:rsidRPr="002268C2" w:rsidRDefault="002268C2" w:rsidP="002268C2">
      <w:pPr>
        <w:rPr>
          <w:sz w:val="11"/>
          <w:lang w:val="el-GR"/>
        </w:rPr>
      </w:pPr>
    </w:p>
    <w:p w14:paraId="0CD111F1" w14:textId="77777777" w:rsidR="002268C2" w:rsidRPr="002268C2" w:rsidRDefault="002268C2" w:rsidP="002268C2">
      <w:pPr>
        <w:rPr>
          <w:sz w:val="11"/>
          <w:lang w:val="el-GR"/>
        </w:rPr>
      </w:pPr>
    </w:p>
    <w:p w14:paraId="4BA9F9C1" w14:textId="77777777" w:rsidR="002268C2" w:rsidRPr="002268C2" w:rsidRDefault="002268C2" w:rsidP="002268C2">
      <w:pPr>
        <w:rPr>
          <w:sz w:val="11"/>
          <w:lang w:val="el-GR"/>
        </w:rPr>
      </w:pPr>
    </w:p>
    <w:p w14:paraId="52DF4B96" w14:textId="77777777" w:rsidR="002268C2" w:rsidRPr="002268C2" w:rsidRDefault="00B71FCC" w:rsidP="002268C2">
      <w:pPr>
        <w:rPr>
          <w:sz w:val="11"/>
          <w:lang w:val="el-GR"/>
        </w:rPr>
      </w:pPr>
      <w:r w:rsidRPr="002268C2">
        <w:rPr>
          <w:noProof/>
          <w:sz w:val="20"/>
          <w:lang w:val="el-GR" w:eastAsia="el-GR"/>
        </w:rPr>
        <w:drawing>
          <wp:anchor distT="0" distB="0" distL="114300" distR="114300" simplePos="0" relativeHeight="487595008" behindDoc="0" locked="0" layoutInCell="1" allowOverlap="1" wp14:anchorId="724AD128" wp14:editId="5A269479">
            <wp:simplePos x="0" y="0"/>
            <wp:positionH relativeFrom="column">
              <wp:posOffset>609600</wp:posOffset>
            </wp:positionH>
            <wp:positionV relativeFrom="paragraph">
              <wp:posOffset>22009</wp:posOffset>
            </wp:positionV>
            <wp:extent cx="2333625" cy="2045970"/>
            <wp:effectExtent l="0" t="0" r="0" b="0"/>
            <wp:wrapNone/>
            <wp:docPr id="44" name="Chart 4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5B63979A" w14:textId="77777777" w:rsidR="002268C2" w:rsidRPr="002268C2" w:rsidRDefault="002A4E82" w:rsidP="002268C2">
      <w:pPr>
        <w:rPr>
          <w:sz w:val="11"/>
          <w:lang w:val="el-GR"/>
        </w:rPr>
      </w:pPr>
      <w:r w:rsidRPr="002268C2">
        <w:rPr>
          <w:noProof/>
          <w:sz w:val="11"/>
          <w:lang w:val="el-GR" w:eastAsia="el-GR"/>
        </w:rPr>
        <w:drawing>
          <wp:anchor distT="0" distB="0" distL="114300" distR="114300" simplePos="0" relativeHeight="487599104" behindDoc="0" locked="0" layoutInCell="1" allowOverlap="1" wp14:anchorId="28A675E0" wp14:editId="47C025B7">
            <wp:simplePos x="0" y="0"/>
            <wp:positionH relativeFrom="column">
              <wp:posOffset>4015105</wp:posOffset>
            </wp:positionH>
            <wp:positionV relativeFrom="paragraph">
              <wp:posOffset>28764</wp:posOffset>
            </wp:positionV>
            <wp:extent cx="2108835" cy="1991360"/>
            <wp:effectExtent l="0" t="0" r="0" b="0"/>
            <wp:wrapNone/>
            <wp:docPr id="23" name="Chart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16BBCE2F" w14:textId="77777777" w:rsidR="002268C2" w:rsidRPr="002268C2" w:rsidRDefault="002268C2" w:rsidP="002268C2">
      <w:pPr>
        <w:rPr>
          <w:sz w:val="11"/>
          <w:lang w:val="el-GR"/>
        </w:rPr>
      </w:pPr>
    </w:p>
    <w:p w14:paraId="3DE18F61" w14:textId="77777777" w:rsidR="002268C2" w:rsidRPr="002268C2" w:rsidRDefault="002268C2" w:rsidP="002268C2">
      <w:pPr>
        <w:rPr>
          <w:sz w:val="11"/>
          <w:lang w:val="el-GR"/>
        </w:rPr>
      </w:pPr>
    </w:p>
    <w:p w14:paraId="11465FD2" w14:textId="77777777" w:rsidR="002268C2" w:rsidRPr="002268C2" w:rsidRDefault="002268C2" w:rsidP="002268C2">
      <w:pPr>
        <w:rPr>
          <w:sz w:val="11"/>
          <w:lang w:val="el-GR"/>
        </w:rPr>
      </w:pPr>
    </w:p>
    <w:p w14:paraId="53D6BE20" w14:textId="77777777" w:rsidR="002268C2" w:rsidRPr="002268C2" w:rsidRDefault="002268C2" w:rsidP="002268C2">
      <w:pPr>
        <w:rPr>
          <w:sz w:val="11"/>
          <w:lang w:val="el-GR"/>
        </w:rPr>
      </w:pPr>
    </w:p>
    <w:p w14:paraId="7048AC5C" w14:textId="77777777" w:rsidR="002268C2" w:rsidRPr="002268C2" w:rsidRDefault="002268C2" w:rsidP="002268C2">
      <w:pPr>
        <w:rPr>
          <w:sz w:val="11"/>
          <w:lang w:val="el-GR"/>
        </w:rPr>
      </w:pPr>
    </w:p>
    <w:p w14:paraId="2F09445A" w14:textId="77777777" w:rsidR="002268C2" w:rsidRPr="002268C2" w:rsidRDefault="002268C2" w:rsidP="002268C2">
      <w:pPr>
        <w:rPr>
          <w:sz w:val="11"/>
          <w:lang w:val="el-GR"/>
        </w:rPr>
      </w:pPr>
    </w:p>
    <w:p w14:paraId="118FFF26" w14:textId="77777777" w:rsidR="002268C2" w:rsidRPr="002268C2" w:rsidRDefault="002268C2" w:rsidP="002268C2">
      <w:pPr>
        <w:rPr>
          <w:sz w:val="11"/>
          <w:lang w:val="el-GR"/>
        </w:rPr>
      </w:pPr>
    </w:p>
    <w:p w14:paraId="5C3C0F19" w14:textId="77777777" w:rsidR="002268C2" w:rsidRPr="002268C2" w:rsidRDefault="002268C2" w:rsidP="002268C2">
      <w:pPr>
        <w:rPr>
          <w:sz w:val="11"/>
          <w:lang w:val="el-GR"/>
        </w:rPr>
      </w:pPr>
    </w:p>
    <w:p w14:paraId="071C1810" w14:textId="77777777" w:rsidR="002268C2" w:rsidRPr="002268C2" w:rsidRDefault="002268C2" w:rsidP="002268C2">
      <w:pPr>
        <w:rPr>
          <w:sz w:val="11"/>
          <w:lang w:val="el-GR"/>
        </w:rPr>
      </w:pPr>
    </w:p>
    <w:p w14:paraId="5BD3D974" w14:textId="77777777" w:rsidR="002268C2" w:rsidRPr="002268C2" w:rsidRDefault="002268C2" w:rsidP="002268C2">
      <w:pPr>
        <w:rPr>
          <w:sz w:val="11"/>
          <w:lang w:val="el-GR"/>
        </w:rPr>
      </w:pPr>
    </w:p>
    <w:p w14:paraId="694A2775" w14:textId="77777777" w:rsidR="002268C2" w:rsidRPr="002268C2" w:rsidRDefault="002268C2" w:rsidP="002268C2">
      <w:pPr>
        <w:rPr>
          <w:sz w:val="11"/>
          <w:lang w:val="el-GR"/>
        </w:rPr>
      </w:pPr>
    </w:p>
    <w:p w14:paraId="5CD8980E" w14:textId="77777777" w:rsidR="002268C2" w:rsidRPr="002268C2" w:rsidRDefault="002268C2" w:rsidP="002268C2">
      <w:pPr>
        <w:rPr>
          <w:sz w:val="11"/>
          <w:lang w:val="el-GR"/>
        </w:rPr>
      </w:pPr>
    </w:p>
    <w:p w14:paraId="7C4E4825" w14:textId="77777777" w:rsidR="002268C2" w:rsidRPr="002268C2" w:rsidRDefault="002268C2" w:rsidP="002268C2">
      <w:pPr>
        <w:rPr>
          <w:sz w:val="11"/>
          <w:lang w:val="el-GR"/>
        </w:rPr>
      </w:pPr>
    </w:p>
    <w:p w14:paraId="6232A555" w14:textId="77777777" w:rsidR="002268C2" w:rsidRPr="002268C2" w:rsidRDefault="002268C2" w:rsidP="002268C2">
      <w:pPr>
        <w:rPr>
          <w:sz w:val="11"/>
          <w:lang w:val="el-GR"/>
        </w:rPr>
      </w:pPr>
    </w:p>
    <w:p w14:paraId="4BFD8B50" w14:textId="77777777" w:rsidR="002268C2" w:rsidRPr="002268C2" w:rsidRDefault="002268C2" w:rsidP="002268C2">
      <w:pPr>
        <w:rPr>
          <w:sz w:val="11"/>
          <w:lang w:val="el-GR"/>
        </w:rPr>
      </w:pPr>
    </w:p>
    <w:p w14:paraId="58D6694F" w14:textId="77777777" w:rsidR="002268C2" w:rsidRPr="002268C2" w:rsidRDefault="002268C2" w:rsidP="002268C2">
      <w:pPr>
        <w:rPr>
          <w:sz w:val="11"/>
          <w:lang w:val="el-GR"/>
        </w:rPr>
      </w:pPr>
    </w:p>
    <w:p w14:paraId="3492CF18" w14:textId="77777777" w:rsidR="002268C2" w:rsidRPr="002268C2" w:rsidRDefault="002268C2" w:rsidP="002268C2">
      <w:pPr>
        <w:rPr>
          <w:sz w:val="11"/>
          <w:lang w:val="el-GR"/>
        </w:rPr>
      </w:pPr>
    </w:p>
    <w:p w14:paraId="7F1FABEC" w14:textId="77777777" w:rsidR="002268C2" w:rsidRPr="002268C2" w:rsidRDefault="002268C2" w:rsidP="002268C2">
      <w:pPr>
        <w:rPr>
          <w:sz w:val="11"/>
          <w:lang w:val="el-GR"/>
        </w:rPr>
      </w:pPr>
    </w:p>
    <w:p w14:paraId="7D1385A0" w14:textId="77777777" w:rsidR="002268C2" w:rsidRPr="002268C2" w:rsidRDefault="002268C2" w:rsidP="002268C2">
      <w:pPr>
        <w:rPr>
          <w:sz w:val="11"/>
          <w:lang w:val="el-GR"/>
        </w:rPr>
      </w:pPr>
    </w:p>
    <w:p w14:paraId="70FA45EE" w14:textId="77777777" w:rsidR="002268C2" w:rsidRPr="002268C2" w:rsidRDefault="002268C2" w:rsidP="002268C2">
      <w:pPr>
        <w:rPr>
          <w:sz w:val="11"/>
          <w:lang w:val="el-GR"/>
        </w:rPr>
      </w:pPr>
    </w:p>
    <w:p w14:paraId="4C59B093" w14:textId="77777777" w:rsidR="002268C2" w:rsidRPr="002268C2" w:rsidRDefault="002268C2" w:rsidP="002268C2">
      <w:pPr>
        <w:rPr>
          <w:sz w:val="11"/>
          <w:lang w:val="el-GR"/>
        </w:rPr>
      </w:pPr>
    </w:p>
    <w:p w14:paraId="27D7CDA6" w14:textId="77777777" w:rsidR="002268C2" w:rsidRDefault="002268C2" w:rsidP="002268C2">
      <w:pPr>
        <w:rPr>
          <w:sz w:val="11"/>
          <w:lang w:val="el-GR"/>
        </w:rPr>
      </w:pPr>
    </w:p>
    <w:p w14:paraId="1CF90F68" w14:textId="77777777" w:rsidR="002268C2" w:rsidRPr="002268C2" w:rsidRDefault="002268C2" w:rsidP="002268C2">
      <w:pPr>
        <w:rPr>
          <w:sz w:val="11"/>
          <w:lang w:val="el-GR"/>
        </w:rPr>
      </w:pPr>
    </w:p>
    <w:p w14:paraId="19D0C1CE" w14:textId="77777777" w:rsidR="002268C2" w:rsidRPr="002268C2" w:rsidRDefault="002268C2" w:rsidP="002268C2">
      <w:pPr>
        <w:rPr>
          <w:sz w:val="11"/>
          <w:lang w:val="el-GR"/>
        </w:rPr>
      </w:pPr>
    </w:p>
    <w:p w14:paraId="78A7B813" w14:textId="77777777" w:rsidR="002268C2" w:rsidRPr="002268C2" w:rsidRDefault="002268C2" w:rsidP="002268C2">
      <w:pPr>
        <w:rPr>
          <w:sz w:val="11"/>
          <w:lang w:val="el-GR"/>
        </w:rPr>
      </w:pPr>
    </w:p>
    <w:p w14:paraId="554DB29A" w14:textId="77777777" w:rsidR="002268C2" w:rsidRPr="002268C2" w:rsidRDefault="002268C2" w:rsidP="002268C2">
      <w:pPr>
        <w:rPr>
          <w:sz w:val="11"/>
          <w:lang w:val="el-GR"/>
        </w:rPr>
      </w:pPr>
    </w:p>
    <w:p w14:paraId="20C9A7F9" w14:textId="77777777" w:rsidR="002268C2" w:rsidRPr="002268C2" w:rsidRDefault="002268C2" w:rsidP="002268C2">
      <w:pPr>
        <w:rPr>
          <w:sz w:val="11"/>
          <w:lang w:val="el-GR"/>
        </w:rPr>
      </w:pPr>
    </w:p>
    <w:p w14:paraId="733DAFC1" w14:textId="77777777" w:rsidR="002268C2" w:rsidRPr="002268C2" w:rsidRDefault="002268C2" w:rsidP="002268C2">
      <w:pPr>
        <w:rPr>
          <w:sz w:val="11"/>
          <w:lang w:val="el-GR"/>
        </w:rPr>
      </w:pPr>
    </w:p>
    <w:p w14:paraId="208C7713" w14:textId="77777777" w:rsidR="002268C2" w:rsidRPr="002268C2" w:rsidRDefault="002268C2" w:rsidP="002268C2">
      <w:pPr>
        <w:rPr>
          <w:sz w:val="11"/>
          <w:lang w:val="el-GR"/>
        </w:rPr>
      </w:pPr>
    </w:p>
    <w:p w14:paraId="47C0E666" w14:textId="77777777" w:rsidR="002268C2" w:rsidRPr="002268C2" w:rsidRDefault="002268C2" w:rsidP="002268C2">
      <w:pPr>
        <w:rPr>
          <w:sz w:val="11"/>
          <w:lang w:val="el-GR"/>
        </w:rPr>
      </w:pPr>
    </w:p>
    <w:p w14:paraId="4E53B05E" w14:textId="77777777" w:rsidR="002268C2" w:rsidRPr="002268C2" w:rsidRDefault="002268C2" w:rsidP="002268C2">
      <w:pPr>
        <w:rPr>
          <w:sz w:val="11"/>
          <w:lang w:val="el-GR"/>
        </w:rPr>
      </w:pPr>
    </w:p>
    <w:p w14:paraId="7BA1F3C4" w14:textId="77777777" w:rsidR="002268C2" w:rsidRPr="002268C2" w:rsidRDefault="00FF4A86" w:rsidP="002268C2">
      <w:pPr>
        <w:rPr>
          <w:sz w:val="11"/>
          <w:lang w:val="el-GR"/>
        </w:rPr>
      </w:pPr>
      <w:r w:rsidRPr="002268C2">
        <w:rPr>
          <w:noProof/>
          <w:sz w:val="11"/>
          <w:lang w:val="el-GR" w:eastAsia="el-GR"/>
        </w:rPr>
        <mc:AlternateContent>
          <mc:Choice Requires="wps">
            <w:drawing>
              <wp:anchor distT="36576" distB="36576" distL="36576" distR="36576" simplePos="0" relativeHeight="487603200" behindDoc="1" locked="0" layoutInCell="1" allowOverlap="1" wp14:anchorId="77B8F93A" wp14:editId="1FF87595">
                <wp:simplePos x="0" y="0"/>
                <wp:positionH relativeFrom="column">
                  <wp:posOffset>3528060</wp:posOffset>
                </wp:positionH>
                <wp:positionV relativeFrom="paragraph">
                  <wp:posOffset>35387</wp:posOffset>
                </wp:positionV>
                <wp:extent cx="3076575" cy="2604135"/>
                <wp:effectExtent l="0" t="0" r="9525" b="5715"/>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076575" cy="2604135"/>
                        </a:xfrm>
                        <a:prstGeom prst="roundRect">
                          <a:avLst>
                            <a:gd name="adj" fmla="val 0"/>
                          </a:avLst>
                        </a:prstGeom>
                        <a:solidFill>
                          <a:srgbClr val="DFE4E9"/>
                        </a:solidFill>
                        <a:ln>
                          <a:noFill/>
                        </a:ln>
                        <a:effectLst/>
                        <a:extLst>
                          <a:ext uri="{91240B29-F687-4F45-9708-019B960494DF}">
                            <a14:hiddenLine xmlns:a14="http://schemas.microsoft.com/office/drawing/2010/main" w="9525" algn="in">
                              <a:solidFill>
                                <a:srgbClr val="000066"/>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oundrect w14:anchorId="05C4D2B9" id="Rounded Rectangle 42" o:spid="_x0000_s1026" style="position:absolute;margin-left:277.8pt;margin-top:2.8pt;width:242.25pt;height:205.05pt;z-index:-15713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" fillcolor="#dfe4e9" stroked="f" strokecolor="#006" insetpen="t">
                <v:shadow color="#ccc"/>
                <o:lock v:ext="edit" shapetype="t"/>
                <v:textbox inset="2.88pt,2.88pt,2.88pt,2.88pt"/>
              </v:roundrect>
            </w:pict>
          </mc:Fallback>
        </mc:AlternateContent>
      </w:r>
      <w:r w:rsidRPr="002268C2">
        <w:rPr>
          <w:noProof/>
          <w:sz w:val="11"/>
          <w:lang w:val="el-GR" w:eastAsia="el-GR"/>
        </w:rPr>
        <mc:AlternateContent>
          <mc:Choice Requires="wps">
            <w:drawing>
              <wp:anchor distT="36576" distB="36576" distL="36576" distR="36576" simplePos="0" relativeHeight="487601152" behindDoc="1" locked="0" layoutInCell="1" allowOverlap="1" wp14:anchorId="02D8EB63" wp14:editId="274D008A">
                <wp:simplePos x="0" y="0"/>
                <wp:positionH relativeFrom="column">
                  <wp:posOffset>154940</wp:posOffset>
                </wp:positionH>
                <wp:positionV relativeFrom="paragraph">
                  <wp:posOffset>26497</wp:posOffset>
                </wp:positionV>
                <wp:extent cx="2990850" cy="2598420"/>
                <wp:effectExtent l="0" t="0" r="0" b="0"/>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90850" cy="2598420"/>
                        </a:xfrm>
                        <a:prstGeom prst="roundRect">
                          <a:avLst>
                            <a:gd name="adj" fmla="val 0"/>
                          </a:avLst>
                        </a:prstGeom>
                        <a:solidFill>
                          <a:srgbClr val="DFE4E9"/>
                        </a:solidFill>
                        <a:ln>
                          <a:noFill/>
                        </a:ln>
                        <a:effectLst/>
                        <a:extLst>
                          <a:ext uri="{91240B29-F687-4F45-9708-019B960494DF}">
                            <a14:hiddenLine xmlns:a14="http://schemas.microsoft.com/office/drawing/2010/main" w="9525" algn="in">
                              <a:solidFill>
                                <a:srgbClr val="000066"/>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oundrect w14:anchorId="1EBA2D90" id="Rounded Rectangle 38" o:spid="_x0000_s1026" style="position:absolute;margin-left:12.2pt;margin-top:2.1pt;width:235.5pt;height:204.6pt;z-index:-15715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" fillcolor="#dfe4e9" stroked="f" strokecolor="#006" insetpen="t">
                <v:shadow color="#ccc"/>
                <o:lock v:ext="edit" shapetype="t"/>
                <v:textbox inset="2.88pt,2.88pt,2.88pt,2.88pt"/>
              </v:roundrect>
            </w:pict>
          </mc:Fallback>
        </mc:AlternateContent>
      </w:r>
    </w:p>
    <w:p w14:paraId="0F119C71" w14:textId="07AE8CBF" w:rsidR="002268C2" w:rsidRPr="002268C2" w:rsidRDefault="005C62A7" w:rsidP="002268C2">
      <w:pPr>
        <w:rPr>
          <w:sz w:val="11"/>
          <w:lang w:val="el-GR"/>
        </w:rPr>
      </w:pPr>
      <w:r w:rsidRPr="002268C2">
        <w:rPr>
          <w:noProof/>
          <w:sz w:val="11"/>
          <w:lang w:val="el-GR" w:eastAsia="el-GR"/>
        </w:rPr>
        <mc:AlternateContent>
          <mc:Choice Requires="wps">
            <w:drawing>
              <wp:anchor distT="36576" distB="36576" distL="36576" distR="36576" simplePos="0" relativeHeight="487612416" behindDoc="0" locked="0" layoutInCell="1" allowOverlap="1" wp14:anchorId="3CC1124A" wp14:editId="602325C4">
                <wp:simplePos x="0" y="0"/>
                <wp:positionH relativeFrom="column">
                  <wp:posOffset>4084409</wp:posOffset>
                </wp:positionH>
                <wp:positionV relativeFrom="paragraph">
                  <wp:posOffset>14605</wp:posOffset>
                </wp:positionV>
                <wp:extent cx="2057400" cy="378460"/>
                <wp:effectExtent l="0" t="0" r="0" b="25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378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630971" w14:textId="3C7F7350" w:rsidR="002268C2" w:rsidRPr="00171B44" w:rsidRDefault="002268C2" w:rsidP="00171B44">
                            <w:pPr>
                              <w:jc w:val="center"/>
                              <w:rPr>
                                <w:rFonts w:cs="Arial"/>
                                <w:bCs/>
                                <w:color w:val="021342"/>
                                <w:lang w:val="el-GR"/>
                              </w:rPr>
                            </w:pPr>
                            <w:r w:rsidRPr="00604B3F">
                              <w:rPr>
                                <w:rFonts w:cs="Arial"/>
                                <w:bCs/>
                                <w:color w:val="021342"/>
                              </w:rPr>
                              <w:t>Δείκτης Κάλυψης NPE</w:t>
                            </w:r>
                            <w:r w:rsidR="00171B44">
                              <w:rPr>
                                <w:rFonts w:cs="Arial"/>
                                <w:bCs/>
                                <w:color w:val="021342"/>
                                <w:lang w:val="el-GR"/>
                              </w:rPr>
                              <w:t xml:space="preserve"> </w:t>
                            </w:r>
                            <w:r w:rsidRPr="00171B44">
                              <w:rPr>
                                <w:rFonts w:cs="Arial"/>
                                <w:bCs/>
                                <w:color w:val="021342"/>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1124A" id="Text Box 31" o:spid="_x0000_s1028" type="#_x0000_t202" style="position:absolute;margin-left:321.6pt;margin-top:1.15pt;width:162pt;height:29.8pt;z-index:4876124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" filled="f" stroked="f" strokeweight="0" insetpen="t">
                <o:lock v:ext="edit" shapetype="t"/>
                <v:textbox inset="2.85pt,2.85pt,2.85pt,2.85pt">
                  <w:txbxContent>
                    <w:p w14:paraId="21630971" w14:textId="3C7F7350" w:rsidR="002268C2" w:rsidRPr="00171B44" w:rsidRDefault="002268C2" w:rsidP="00171B44">
                      <w:pPr>
                        <w:jc w:val="center"/>
                        <w:rPr>
                          <w:rFonts w:cs="Arial"/>
                          <w:bCs/>
                          <w:color w:val="021342"/>
                          <w:lang w:val="el-GR"/>
                        </w:rPr>
                      </w:pPr>
                      <w:r w:rsidRPr="00604B3F">
                        <w:rPr>
                          <w:rFonts w:cs="Arial"/>
                          <w:bCs/>
                          <w:color w:val="021342"/>
                        </w:rPr>
                        <w:t>Δείκτης Κάλυψης NPE</w:t>
                      </w:r>
                      <w:r w:rsidR="00171B44">
                        <w:rPr>
                          <w:rFonts w:cs="Arial"/>
                          <w:bCs/>
                          <w:color w:val="021342"/>
                          <w:lang w:val="el-GR"/>
                        </w:rPr>
                        <w:t xml:space="preserve"> </w:t>
                      </w:r>
                      <w:r w:rsidRPr="00171B44">
                        <w:rPr>
                          <w:rFonts w:cs="Arial"/>
                          <w:bCs/>
                          <w:color w:val="021342"/>
                        </w:rPr>
                        <w:t>(%)</w:t>
                      </w:r>
                    </w:p>
                  </w:txbxContent>
                </v:textbox>
              </v:shape>
            </w:pict>
          </mc:Fallback>
        </mc:AlternateContent>
      </w:r>
      <w:r w:rsidR="00FF4A86" w:rsidRPr="002268C2">
        <w:rPr>
          <w:noProof/>
          <w:sz w:val="11"/>
          <w:lang w:val="el-GR" w:eastAsia="el-GR"/>
        </w:rPr>
        <w:drawing>
          <wp:anchor distT="0" distB="0" distL="114300" distR="114300" simplePos="0" relativeHeight="487611392" behindDoc="0" locked="0" layoutInCell="1" allowOverlap="1" wp14:anchorId="42D396C0" wp14:editId="1F249D24">
            <wp:simplePos x="0" y="0"/>
            <wp:positionH relativeFrom="column">
              <wp:posOffset>3919220</wp:posOffset>
            </wp:positionH>
            <wp:positionV relativeFrom="paragraph">
              <wp:posOffset>354330</wp:posOffset>
            </wp:positionV>
            <wp:extent cx="2247900" cy="2096770"/>
            <wp:effectExtent l="0" t="0" r="0" b="0"/>
            <wp:wrapNone/>
            <wp:docPr id="33" name="Chart 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FF4A86" w:rsidRPr="002268C2">
        <w:rPr>
          <w:noProof/>
          <w:sz w:val="11"/>
          <w:lang w:val="el-GR" w:eastAsia="el-GR"/>
        </w:rPr>
        <mc:AlternateContent>
          <mc:Choice Requires="wps">
            <w:drawing>
              <wp:anchor distT="36576" distB="36576" distL="36576" distR="36576" simplePos="0" relativeHeight="487605248" behindDoc="0" locked="0" layoutInCell="1" allowOverlap="1" wp14:anchorId="2BC0A3DD" wp14:editId="7F873B04">
                <wp:simplePos x="0" y="0"/>
                <wp:positionH relativeFrom="column">
                  <wp:posOffset>454025</wp:posOffset>
                </wp:positionH>
                <wp:positionV relativeFrom="paragraph">
                  <wp:posOffset>33482</wp:posOffset>
                </wp:positionV>
                <wp:extent cx="2333625" cy="274320"/>
                <wp:effectExtent l="0" t="0" r="952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3362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1E2347" w14:textId="0077876D" w:rsidR="002268C2" w:rsidRPr="00171B44" w:rsidRDefault="002268C2" w:rsidP="00171B44">
                            <w:pPr>
                              <w:jc w:val="center"/>
                              <w:rPr>
                                <w:rFonts w:cs="Arial"/>
                                <w:bCs/>
                                <w:color w:val="021342"/>
                                <w:lang w:val="el-GR"/>
                              </w:rPr>
                            </w:pPr>
                            <w:r w:rsidRPr="00604B3F">
                              <w:rPr>
                                <w:rFonts w:cs="Arial"/>
                                <w:bCs/>
                                <w:color w:val="021342"/>
                              </w:rPr>
                              <w:t>Δείκτης NPE</w:t>
                            </w:r>
                            <w:r w:rsidR="00171B44">
                              <w:rPr>
                                <w:rFonts w:cs="Arial"/>
                                <w:bCs/>
                                <w:color w:val="021342"/>
                                <w:lang w:val="el-GR"/>
                              </w:rPr>
                              <w:t xml:space="preserve"> </w:t>
                            </w:r>
                            <w:r w:rsidRPr="00604B3F">
                              <w:rPr>
                                <w:rFonts w:cs="Arial"/>
                                <w:bCs/>
                                <w:color w:val="021342"/>
                              </w:rPr>
                              <w:t>(%)</w:t>
                            </w:r>
                          </w:p>
                          <w:p w14:paraId="673C5B98" w14:textId="77777777" w:rsidR="002268C2" w:rsidRPr="006C4FC5" w:rsidRDefault="002268C2" w:rsidP="002268C2">
                            <w:pPr>
                              <w:jc w:val="center"/>
                              <w:rPr>
                                <w:rFonts w:cs="Arial"/>
                                <w:bCs/>
                                <w:color w:val="000066"/>
                              </w:rPr>
                            </w:pPr>
                          </w:p>
                          <w:p w14:paraId="1192B947" w14:textId="77777777" w:rsidR="002268C2" w:rsidRPr="006C4FC5" w:rsidRDefault="002268C2" w:rsidP="00171B44">
                            <w:pPr>
                              <w:rPr>
                                <w:rFonts w:cs="Arial"/>
                                <w:bCs/>
                                <w:color w:val="00006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0A3DD" id="Text Box 41" o:spid="_x0000_s1029" type="#_x0000_t202" style="position:absolute;margin-left:35.75pt;margin-top:2.65pt;width:183.75pt;height:21.6pt;z-index:487605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" filled="f" stroked="f" strokeweight="0" insetpen="t">
                <o:lock v:ext="edit" shapetype="t"/>
                <v:textbox inset="2.85pt,2.85pt,2.85pt,2.85pt">
                  <w:txbxContent>
                    <w:p w14:paraId="681E2347" w14:textId="0077876D" w:rsidR="002268C2" w:rsidRPr="00171B44" w:rsidRDefault="002268C2" w:rsidP="00171B44">
                      <w:pPr>
                        <w:jc w:val="center"/>
                        <w:rPr>
                          <w:rFonts w:cs="Arial"/>
                          <w:bCs/>
                          <w:color w:val="021342"/>
                          <w:lang w:val="el-GR"/>
                        </w:rPr>
                      </w:pPr>
                      <w:r w:rsidRPr="00604B3F">
                        <w:rPr>
                          <w:rFonts w:cs="Arial"/>
                          <w:bCs/>
                          <w:color w:val="021342"/>
                        </w:rPr>
                        <w:t>Δείκτης NPE</w:t>
                      </w:r>
                      <w:r w:rsidR="00171B44">
                        <w:rPr>
                          <w:rFonts w:cs="Arial"/>
                          <w:bCs/>
                          <w:color w:val="021342"/>
                          <w:lang w:val="el-GR"/>
                        </w:rPr>
                        <w:t xml:space="preserve"> </w:t>
                      </w:r>
                      <w:r w:rsidRPr="00604B3F">
                        <w:rPr>
                          <w:rFonts w:cs="Arial"/>
                          <w:bCs/>
                          <w:color w:val="021342"/>
                        </w:rPr>
                        <w:t>(%)</w:t>
                      </w:r>
                    </w:p>
                    <w:p w14:paraId="673C5B98" w14:textId="77777777" w:rsidR="002268C2" w:rsidRPr="006C4FC5" w:rsidRDefault="002268C2" w:rsidP="002268C2">
                      <w:pPr>
                        <w:jc w:val="center"/>
                        <w:rPr>
                          <w:rFonts w:cs="Arial"/>
                          <w:bCs/>
                          <w:color w:val="000066"/>
                        </w:rPr>
                      </w:pPr>
                    </w:p>
                    <w:p w14:paraId="1192B947" w14:textId="77777777" w:rsidR="002268C2" w:rsidRPr="006C4FC5" w:rsidRDefault="002268C2" w:rsidP="00171B44">
                      <w:pPr>
                        <w:rPr>
                          <w:rFonts w:cs="Arial"/>
                          <w:bCs/>
                          <w:color w:val="000066"/>
                        </w:rPr>
                      </w:pPr>
                    </w:p>
                  </w:txbxContent>
                </v:textbox>
              </v:shape>
            </w:pict>
          </mc:Fallback>
        </mc:AlternateContent>
      </w:r>
    </w:p>
    <w:p w14:paraId="31AB66CE" w14:textId="77777777" w:rsidR="002268C2" w:rsidRPr="002268C2" w:rsidRDefault="002268C2" w:rsidP="002268C2">
      <w:pPr>
        <w:rPr>
          <w:sz w:val="11"/>
          <w:lang w:val="el-GR"/>
        </w:rPr>
      </w:pPr>
    </w:p>
    <w:p w14:paraId="1793B8D1" w14:textId="77777777" w:rsidR="002268C2" w:rsidRPr="002268C2" w:rsidRDefault="002268C2" w:rsidP="002268C2">
      <w:pPr>
        <w:rPr>
          <w:sz w:val="11"/>
          <w:lang w:val="el-GR"/>
        </w:rPr>
      </w:pPr>
    </w:p>
    <w:p w14:paraId="1925E473" w14:textId="77777777" w:rsidR="002268C2" w:rsidRPr="002268C2" w:rsidRDefault="00F919AA" w:rsidP="00F919AA">
      <w:pPr>
        <w:tabs>
          <w:tab w:val="left" w:pos="4568"/>
        </w:tabs>
        <w:rPr>
          <w:sz w:val="11"/>
          <w:lang w:val="el-GR"/>
        </w:rPr>
      </w:pPr>
      <w:r>
        <w:rPr>
          <w:sz w:val="11"/>
          <w:lang w:val="el-GR"/>
        </w:rPr>
        <w:tab/>
      </w:r>
    </w:p>
    <w:p w14:paraId="5DB9BDEF" w14:textId="77777777" w:rsidR="002268C2" w:rsidRPr="002268C2" w:rsidRDefault="00FF4A86" w:rsidP="002268C2">
      <w:pPr>
        <w:rPr>
          <w:sz w:val="11"/>
          <w:lang w:val="el-GR"/>
        </w:rPr>
      </w:pPr>
      <w:r w:rsidRPr="002268C2">
        <w:rPr>
          <w:noProof/>
          <w:sz w:val="11"/>
          <w:lang w:val="el-GR" w:eastAsia="el-GR"/>
        </w:rPr>
        <w:drawing>
          <wp:anchor distT="0" distB="0" distL="114300" distR="114300" simplePos="0" relativeHeight="487604224" behindDoc="0" locked="0" layoutInCell="1" allowOverlap="1" wp14:anchorId="7BF53E43" wp14:editId="4EFB478F">
            <wp:simplePos x="0" y="0"/>
            <wp:positionH relativeFrom="column">
              <wp:posOffset>528320</wp:posOffset>
            </wp:positionH>
            <wp:positionV relativeFrom="paragraph">
              <wp:posOffset>18877</wp:posOffset>
            </wp:positionV>
            <wp:extent cx="2327910" cy="2042160"/>
            <wp:effectExtent l="0" t="0" r="0" b="0"/>
            <wp:wrapNone/>
            <wp:docPr id="40" name="Chart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39B84F78" w14:textId="77777777" w:rsidR="002268C2" w:rsidRPr="002268C2" w:rsidRDefault="002268C2" w:rsidP="002268C2">
      <w:pPr>
        <w:rPr>
          <w:sz w:val="11"/>
          <w:lang w:val="el-GR"/>
        </w:rPr>
      </w:pPr>
    </w:p>
    <w:p w14:paraId="6ECD79AB" w14:textId="77777777" w:rsidR="002268C2" w:rsidRPr="002268C2" w:rsidRDefault="002268C2" w:rsidP="002268C2">
      <w:pPr>
        <w:rPr>
          <w:sz w:val="11"/>
          <w:lang w:val="el-GR"/>
        </w:rPr>
      </w:pPr>
    </w:p>
    <w:p w14:paraId="5BC19579" w14:textId="77777777" w:rsidR="002268C2" w:rsidRPr="002268C2" w:rsidRDefault="002268C2" w:rsidP="002268C2">
      <w:pPr>
        <w:rPr>
          <w:sz w:val="11"/>
          <w:lang w:val="el-GR"/>
        </w:rPr>
      </w:pPr>
    </w:p>
    <w:p w14:paraId="2C9022A4" w14:textId="77777777" w:rsidR="002268C2" w:rsidRPr="002268C2" w:rsidRDefault="002268C2" w:rsidP="002268C2">
      <w:pPr>
        <w:rPr>
          <w:sz w:val="11"/>
          <w:lang w:val="el-GR"/>
        </w:rPr>
      </w:pPr>
    </w:p>
    <w:p w14:paraId="308DC5B2" w14:textId="77777777" w:rsidR="002268C2" w:rsidRPr="002268C2" w:rsidRDefault="002268C2" w:rsidP="002268C2">
      <w:pPr>
        <w:rPr>
          <w:sz w:val="11"/>
          <w:lang w:val="el-GR"/>
        </w:rPr>
      </w:pPr>
    </w:p>
    <w:p w14:paraId="49E60884" w14:textId="77777777" w:rsidR="002268C2" w:rsidRPr="002268C2" w:rsidRDefault="002268C2" w:rsidP="002268C2">
      <w:pPr>
        <w:rPr>
          <w:sz w:val="11"/>
          <w:lang w:val="el-GR"/>
        </w:rPr>
      </w:pPr>
    </w:p>
    <w:p w14:paraId="18E19B67" w14:textId="77777777" w:rsidR="002268C2" w:rsidRPr="002268C2" w:rsidRDefault="002268C2" w:rsidP="002268C2">
      <w:pPr>
        <w:rPr>
          <w:sz w:val="11"/>
          <w:lang w:val="el-GR"/>
        </w:rPr>
      </w:pPr>
    </w:p>
    <w:p w14:paraId="22138407" w14:textId="77777777" w:rsidR="002268C2" w:rsidRPr="002268C2" w:rsidRDefault="002268C2" w:rsidP="002268C2">
      <w:pPr>
        <w:rPr>
          <w:sz w:val="11"/>
          <w:lang w:val="el-GR"/>
        </w:rPr>
      </w:pPr>
    </w:p>
    <w:p w14:paraId="61BCD091" w14:textId="77777777" w:rsidR="002268C2" w:rsidRPr="002268C2" w:rsidRDefault="002268C2" w:rsidP="002268C2">
      <w:pPr>
        <w:rPr>
          <w:sz w:val="11"/>
          <w:lang w:val="el-GR"/>
        </w:rPr>
      </w:pPr>
    </w:p>
    <w:p w14:paraId="239A2438" w14:textId="77777777" w:rsidR="002268C2" w:rsidRPr="002268C2" w:rsidRDefault="002268C2" w:rsidP="002268C2">
      <w:pPr>
        <w:rPr>
          <w:sz w:val="11"/>
          <w:lang w:val="el-GR"/>
        </w:rPr>
      </w:pPr>
    </w:p>
    <w:p w14:paraId="6B6C2E24" w14:textId="77777777" w:rsidR="002268C2" w:rsidRPr="002268C2" w:rsidRDefault="002268C2" w:rsidP="002268C2">
      <w:pPr>
        <w:rPr>
          <w:sz w:val="11"/>
          <w:lang w:val="el-GR"/>
        </w:rPr>
      </w:pPr>
    </w:p>
    <w:p w14:paraId="303304F4" w14:textId="77777777" w:rsidR="002268C2" w:rsidRPr="002268C2" w:rsidRDefault="002268C2" w:rsidP="002268C2">
      <w:pPr>
        <w:rPr>
          <w:sz w:val="11"/>
          <w:lang w:val="el-GR"/>
        </w:rPr>
      </w:pPr>
    </w:p>
    <w:p w14:paraId="3051D172" w14:textId="77777777" w:rsidR="002268C2" w:rsidRPr="002268C2" w:rsidRDefault="002268C2" w:rsidP="002268C2">
      <w:pPr>
        <w:rPr>
          <w:sz w:val="11"/>
          <w:lang w:val="el-GR"/>
        </w:rPr>
      </w:pPr>
    </w:p>
    <w:p w14:paraId="4DDCBCDC" w14:textId="77777777" w:rsidR="002268C2" w:rsidRPr="002268C2" w:rsidRDefault="002268C2" w:rsidP="002268C2">
      <w:pPr>
        <w:rPr>
          <w:sz w:val="11"/>
          <w:lang w:val="el-GR"/>
        </w:rPr>
      </w:pPr>
    </w:p>
    <w:p w14:paraId="28461179" w14:textId="77777777" w:rsidR="002268C2" w:rsidRPr="002268C2" w:rsidRDefault="002268C2" w:rsidP="002268C2">
      <w:pPr>
        <w:rPr>
          <w:sz w:val="11"/>
          <w:lang w:val="el-GR"/>
        </w:rPr>
      </w:pPr>
    </w:p>
    <w:p w14:paraId="231928B9" w14:textId="77777777" w:rsidR="002268C2" w:rsidRPr="002268C2" w:rsidRDefault="002268C2" w:rsidP="002268C2">
      <w:pPr>
        <w:rPr>
          <w:sz w:val="11"/>
          <w:lang w:val="el-GR"/>
        </w:rPr>
      </w:pPr>
    </w:p>
    <w:p w14:paraId="173C0BEA" w14:textId="77777777" w:rsidR="002268C2" w:rsidRPr="002268C2" w:rsidRDefault="002268C2" w:rsidP="002268C2">
      <w:pPr>
        <w:rPr>
          <w:sz w:val="11"/>
          <w:lang w:val="el-GR"/>
        </w:rPr>
      </w:pPr>
    </w:p>
    <w:p w14:paraId="75A1C727" w14:textId="77777777" w:rsidR="002268C2" w:rsidRPr="002268C2" w:rsidRDefault="002268C2" w:rsidP="002268C2">
      <w:pPr>
        <w:rPr>
          <w:sz w:val="11"/>
          <w:lang w:val="el-GR"/>
        </w:rPr>
      </w:pPr>
    </w:p>
    <w:p w14:paraId="5A621761" w14:textId="77777777" w:rsidR="002268C2" w:rsidRPr="002268C2" w:rsidRDefault="002268C2" w:rsidP="002268C2">
      <w:pPr>
        <w:rPr>
          <w:sz w:val="11"/>
          <w:lang w:val="el-GR"/>
        </w:rPr>
      </w:pPr>
    </w:p>
    <w:p w14:paraId="0027D9F4" w14:textId="77777777" w:rsidR="002268C2" w:rsidRPr="002268C2" w:rsidRDefault="002268C2" w:rsidP="002268C2">
      <w:pPr>
        <w:rPr>
          <w:sz w:val="11"/>
          <w:lang w:val="el-GR"/>
        </w:rPr>
      </w:pPr>
    </w:p>
    <w:p w14:paraId="13E126D5" w14:textId="77777777" w:rsidR="002268C2" w:rsidRPr="002268C2" w:rsidRDefault="002268C2" w:rsidP="002268C2">
      <w:pPr>
        <w:rPr>
          <w:sz w:val="11"/>
          <w:lang w:val="el-GR"/>
        </w:rPr>
      </w:pPr>
    </w:p>
    <w:p w14:paraId="3F9B6DE8" w14:textId="77777777" w:rsidR="002268C2" w:rsidRPr="002268C2" w:rsidRDefault="002268C2" w:rsidP="002268C2">
      <w:pPr>
        <w:rPr>
          <w:sz w:val="11"/>
          <w:lang w:val="el-GR"/>
        </w:rPr>
      </w:pPr>
    </w:p>
    <w:p w14:paraId="48D42BCA" w14:textId="77777777" w:rsidR="002268C2" w:rsidRPr="002268C2" w:rsidRDefault="002268C2" w:rsidP="002268C2">
      <w:pPr>
        <w:rPr>
          <w:sz w:val="11"/>
          <w:lang w:val="el-GR"/>
        </w:rPr>
      </w:pPr>
    </w:p>
    <w:p w14:paraId="0EA0AD84" w14:textId="77777777" w:rsidR="002268C2" w:rsidRPr="002268C2" w:rsidRDefault="002268C2" w:rsidP="002268C2">
      <w:pPr>
        <w:rPr>
          <w:sz w:val="11"/>
          <w:lang w:val="el-GR"/>
        </w:rPr>
      </w:pPr>
    </w:p>
    <w:p w14:paraId="452D5F38" w14:textId="77777777" w:rsidR="002268C2" w:rsidRPr="002268C2" w:rsidRDefault="002268C2" w:rsidP="002268C2">
      <w:pPr>
        <w:rPr>
          <w:sz w:val="11"/>
          <w:lang w:val="el-GR"/>
        </w:rPr>
      </w:pPr>
    </w:p>
    <w:p w14:paraId="78AABF02" w14:textId="77777777" w:rsidR="002268C2" w:rsidRPr="002268C2" w:rsidRDefault="001F6436" w:rsidP="001F6436">
      <w:pPr>
        <w:tabs>
          <w:tab w:val="left" w:pos="8885"/>
        </w:tabs>
        <w:rPr>
          <w:sz w:val="11"/>
          <w:lang w:val="el-GR"/>
        </w:rPr>
      </w:pPr>
      <w:r>
        <w:rPr>
          <w:sz w:val="11"/>
          <w:lang w:val="el-GR"/>
        </w:rPr>
        <w:tab/>
      </w:r>
    </w:p>
    <w:p w14:paraId="496E9D7F" w14:textId="77777777" w:rsidR="002268C2" w:rsidRPr="002268C2" w:rsidRDefault="00125671" w:rsidP="00125671">
      <w:pPr>
        <w:tabs>
          <w:tab w:val="left" w:pos="2269"/>
        </w:tabs>
        <w:rPr>
          <w:sz w:val="11"/>
          <w:lang w:val="el-GR"/>
        </w:rPr>
      </w:pPr>
      <w:r>
        <w:rPr>
          <w:sz w:val="11"/>
          <w:lang w:val="el-GR"/>
        </w:rPr>
        <w:tab/>
      </w:r>
      <w:r w:rsidR="00A06D6C">
        <w:rPr>
          <w:sz w:val="11"/>
          <w:lang w:val="el-GR"/>
        </w:rPr>
        <w:tab/>
      </w:r>
    </w:p>
    <w:p w14:paraId="339CEF06" w14:textId="77777777" w:rsidR="002268C2" w:rsidRPr="002268C2" w:rsidRDefault="002268C2" w:rsidP="002268C2">
      <w:pPr>
        <w:rPr>
          <w:sz w:val="11"/>
          <w:lang w:val="el-GR"/>
        </w:rPr>
      </w:pPr>
    </w:p>
    <w:p w14:paraId="268A8383" w14:textId="77777777" w:rsidR="002268C2" w:rsidRPr="002268C2" w:rsidRDefault="002268C2" w:rsidP="002268C2">
      <w:pPr>
        <w:rPr>
          <w:sz w:val="11"/>
          <w:lang w:val="el-GR"/>
        </w:rPr>
      </w:pPr>
    </w:p>
    <w:p w14:paraId="182828BA" w14:textId="77777777" w:rsidR="002268C2" w:rsidRDefault="002268C2" w:rsidP="002268C2">
      <w:pPr>
        <w:tabs>
          <w:tab w:val="left" w:pos="1899"/>
        </w:tabs>
        <w:rPr>
          <w:sz w:val="11"/>
          <w:lang w:val="el-GR"/>
        </w:rPr>
      </w:pPr>
      <w:r>
        <w:rPr>
          <w:sz w:val="11"/>
          <w:lang w:val="el-GR"/>
        </w:rPr>
        <w:tab/>
      </w:r>
    </w:p>
    <w:p w14:paraId="57AF3366" w14:textId="77777777" w:rsidR="007515EA" w:rsidRDefault="002268C2" w:rsidP="002268C2">
      <w:pPr>
        <w:tabs>
          <w:tab w:val="left" w:pos="1899"/>
        </w:tabs>
        <w:rPr>
          <w:sz w:val="11"/>
          <w:lang w:val="el-GR"/>
        </w:rPr>
      </w:pPr>
      <w:r>
        <w:rPr>
          <w:sz w:val="11"/>
          <w:lang w:val="el-GR"/>
        </w:rPr>
        <w:tab/>
      </w:r>
    </w:p>
    <w:p w14:paraId="7753A2FF" w14:textId="138B9BC8" w:rsidR="007515EA" w:rsidRPr="007515EA" w:rsidRDefault="007515EA" w:rsidP="007515EA">
      <w:pPr>
        <w:rPr>
          <w:sz w:val="11"/>
          <w:lang w:val="el-GR"/>
        </w:rPr>
      </w:pPr>
    </w:p>
    <w:p w14:paraId="5EA113C2" w14:textId="4A18D6CE" w:rsidR="007515EA" w:rsidRPr="007515EA" w:rsidRDefault="007515EA" w:rsidP="007515EA">
      <w:pPr>
        <w:rPr>
          <w:sz w:val="11"/>
          <w:lang w:val="el-GR"/>
        </w:rPr>
      </w:pPr>
    </w:p>
    <w:p w14:paraId="647FF4E2" w14:textId="4F6D4115" w:rsidR="007515EA" w:rsidRPr="007515EA" w:rsidRDefault="00C6706F" w:rsidP="007515EA">
      <w:pPr>
        <w:rPr>
          <w:sz w:val="11"/>
          <w:lang w:val="el-GR"/>
        </w:rPr>
      </w:pPr>
      <w:r w:rsidRPr="002268C2">
        <w:rPr>
          <w:noProof/>
          <w:sz w:val="11"/>
          <w:lang w:val="el-GR" w:eastAsia="el-GR"/>
        </w:rPr>
        <mc:AlternateContent>
          <mc:Choice Requires="wps">
            <w:drawing>
              <wp:anchor distT="36576" distB="36576" distL="36576" distR="36576" simplePos="0" relativeHeight="487609344" behindDoc="1" locked="0" layoutInCell="1" allowOverlap="1" wp14:anchorId="7FF45166" wp14:editId="2F3095A5">
                <wp:simplePos x="0" y="0"/>
                <wp:positionH relativeFrom="column">
                  <wp:posOffset>3532505</wp:posOffset>
                </wp:positionH>
                <wp:positionV relativeFrom="paragraph">
                  <wp:posOffset>13970</wp:posOffset>
                </wp:positionV>
                <wp:extent cx="3076575" cy="2607945"/>
                <wp:effectExtent l="0" t="0" r="9525" b="1905"/>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076575" cy="2607945"/>
                        </a:xfrm>
                        <a:prstGeom prst="roundRect">
                          <a:avLst>
                            <a:gd name="adj" fmla="val 0"/>
                          </a:avLst>
                        </a:prstGeom>
                        <a:solidFill>
                          <a:srgbClr val="DFE4E9"/>
                        </a:solidFill>
                        <a:ln>
                          <a:noFill/>
                        </a:ln>
                        <a:effectLst/>
                        <a:extLst>
                          <a:ext uri="{91240B29-F687-4F45-9708-019B960494DF}">
                            <a14:hiddenLine xmlns:a14="http://schemas.microsoft.com/office/drawing/2010/main" w="9525" algn="in">
                              <a:solidFill>
                                <a:srgbClr val="000066"/>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4DF30C" id="Rounded Rectangle 29" o:spid="_x0000_s1026" style="position:absolute;margin-left:278.15pt;margin-top:1.1pt;width:242.25pt;height:205.35pt;z-index:-15707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" fillcolor="#dfe4e9" stroked="f" strokecolor="#006" insetpen="t">
                <v:shadow color="#ccc"/>
                <o:lock v:ext="edit" shapetype="t"/>
                <v:textbox inset="2.88pt,2.88pt,2.88pt,2.88pt"/>
              </v:roundrect>
            </w:pict>
          </mc:Fallback>
        </mc:AlternateContent>
      </w:r>
      <w:r w:rsidRPr="002268C2">
        <w:rPr>
          <w:noProof/>
          <w:sz w:val="11"/>
          <w:lang w:val="el-GR" w:eastAsia="el-GR"/>
        </w:rPr>
        <w:drawing>
          <wp:anchor distT="0" distB="0" distL="114300" distR="114300" simplePos="0" relativeHeight="487606272" behindDoc="0" locked="0" layoutInCell="1" allowOverlap="1" wp14:anchorId="6B3FB738" wp14:editId="73F593B6">
            <wp:simplePos x="0" y="0"/>
            <wp:positionH relativeFrom="column">
              <wp:posOffset>3949065</wp:posOffset>
            </wp:positionH>
            <wp:positionV relativeFrom="paragraph">
              <wp:posOffset>495935</wp:posOffset>
            </wp:positionV>
            <wp:extent cx="2257425" cy="2037080"/>
            <wp:effectExtent l="0" t="0" r="0" b="0"/>
            <wp:wrapNone/>
            <wp:docPr id="37" name="Chart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2268C2">
        <w:rPr>
          <w:noProof/>
          <w:sz w:val="11"/>
          <w:lang w:val="el-GR" w:eastAsia="el-GR"/>
        </w:rPr>
        <mc:AlternateContent>
          <mc:Choice Requires="wps">
            <w:drawing>
              <wp:anchor distT="36576" distB="36576" distL="36576" distR="36576" simplePos="0" relativeHeight="487608320" behindDoc="1" locked="0" layoutInCell="1" allowOverlap="1" wp14:anchorId="6B44459F" wp14:editId="0E267224">
                <wp:simplePos x="0" y="0"/>
                <wp:positionH relativeFrom="column">
                  <wp:posOffset>132080</wp:posOffset>
                </wp:positionH>
                <wp:positionV relativeFrom="paragraph">
                  <wp:posOffset>13970</wp:posOffset>
                </wp:positionV>
                <wp:extent cx="2990850" cy="2607945"/>
                <wp:effectExtent l="0" t="0" r="0" b="1905"/>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90850" cy="2607945"/>
                        </a:xfrm>
                        <a:prstGeom prst="roundRect">
                          <a:avLst>
                            <a:gd name="adj" fmla="val 0"/>
                          </a:avLst>
                        </a:prstGeom>
                        <a:solidFill>
                          <a:srgbClr val="DFE4E9"/>
                        </a:solidFill>
                        <a:ln>
                          <a:noFill/>
                        </a:ln>
                        <a:effectLst/>
                        <a:extLst>
                          <a:ext uri="{91240B29-F687-4F45-9708-019B960494DF}">
                            <a14:hiddenLine xmlns:a14="http://schemas.microsoft.com/office/drawing/2010/main" w="9525" algn="in">
                              <a:solidFill>
                                <a:srgbClr val="000066"/>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45D6AA" id="Rounded Rectangle 28" o:spid="_x0000_s1026" style="position:absolute;margin-left:10.4pt;margin-top:1.1pt;width:235.5pt;height:205.35pt;z-index:-15708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" fillcolor="#dfe4e9" stroked="f" strokecolor="#006" insetpen="t">
                <v:shadow color="#ccc"/>
                <o:lock v:ext="edit" shapetype="t"/>
                <v:textbox inset="2.88pt,2.88pt,2.88pt,2.88pt"/>
              </v:roundrect>
            </w:pict>
          </mc:Fallback>
        </mc:AlternateContent>
      </w:r>
      <w:r w:rsidRPr="002268C2">
        <w:rPr>
          <w:noProof/>
          <w:sz w:val="11"/>
          <w:lang w:val="el-GR" w:eastAsia="el-GR"/>
        </w:rPr>
        <mc:AlternateContent>
          <mc:Choice Requires="wps">
            <w:drawing>
              <wp:anchor distT="36576" distB="36576" distL="36576" distR="36576" simplePos="0" relativeHeight="487602176" behindDoc="0" locked="0" layoutInCell="1" allowOverlap="1" wp14:anchorId="6BE6A7E4" wp14:editId="2C247843">
                <wp:simplePos x="0" y="0"/>
                <wp:positionH relativeFrom="column">
                  <wp:posOffset>3995420</wp:posOffset>
                </wp:positionH>
                <wp:positionV relativeFrom="paragraph">
                  <wp:posOffset>75565</wp:posOffset>
                </wp:positionV>
                <wp:extent cx="2333625" cy="378460"/>
                <wp:effectExtent l="0" t="0" r="9525" b="25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33625" cy="378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938E55" w14:textId="77777777" w:rsidR="002268C2" w:rsidRPr="00171B44" w:rsidRDefault="002268C2" w:rsidP="00171B44">
                            <w:pPr>
                              <w:jc w:val="center"/>
                              <w:rPr>
                                <w:rFonts w:cs="Arial"/>
                                <w:bCs/>
                                <w:color w:val="021342"/>
                                <w:lang w:val="el-GR"/>
                              </w:rPr>
                            </w:pPr>
                            <w:r w:rsidRPr="00604B3F">
                              <w:rPr>
                                <w:rFonts w:cs="Arial"/>
                                <w:bCs/>
                                <w:color w:val="021342"/>
                              </w:rPr>
                              <w:t>Κεφαλαιακή Επάρκεια</w:t>
                            </w:r>
                            <w:r w:rsidR="00B86682">
                              <w:rPr>
                                <w:rFonts w:cs="Arial"/>
                                <w:bCs/>
                                <w:color w:val="021342"/>
                                <w:lang w:val="el-GR"/>
                              </w:rPr>
                              <w:t xml:space="preserve"> </w:t>
                            </w:r>
                            <w:r w:rsidRPr="00604B3F">
                              <w:rPr>
                                <w:rFonts w:cs="Arial"/>
                                <w:bCs/>
                                <w:color w:val="021342"/>
                              </w:rPr>
                              <w:t>(%</w:t>
                            </w:r>
                            <w:r w:rsidR="00171B44">
                              <w:rPr>
                                <w:rFonts w:cs="Arial"/>
                                <w:bCs/>
                                <w:color w:val="021342"/>
                                <w:lang w:val="el-GR"/>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6A7E4" id="Text Box 39" o:spid="_x0000_s1030" type="#_x0000_t202" style="position:absolute;margin-left:314.6pt;margin-top:5.95pt;width:183.75pt;height:29.8pt;z-index:487602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" filled="f" stroked="f" strokeweight="0" insetpen="t">
                <o:lock v:ext="edit" shapetype="t"/>
                <v:textbox inset="2.85pt,2.85pt,2.85pt,2.85pt">
                  <w:txbxContent>
                    <w:p w14:paraId="1E938E55" w14:textId="77777777" w:rsidR="002268C2" w:rsidRPr="00171B44" w:rsidRDefault="002268C2" w:rsidP="00171B44">
                      <w:pPr>
                        <w:jc w:val="center"/>
                        <w:rPr>
                          <w:rFonts w:cs="Arial"/>
                          <w:bCs/>
                          <w:color w:val="021342"/>
                          <w:lang w:val="el-GR"/>
                        </w:rPr>
                      </w:pPr>
                      <w:r w:rsidRPr="00604B3F">
                        <w:rPr>
                          <w:rFonts w:cs="Arial"/>
                          <w:bCs/>
                          <w:color w:val="021342"/>
                        </w:rPr>
                        <w:t>Κεφαλαιακή Επάρκεια</w:t>
                      </w:r>
                      <w:r w:rsidR="00B86682">
                        <w:rPr>
                          <w:rFonts w:cs="Arial"/>
                          <w:bCs/>
                          <w:color w:val="021342"/>
                          <w:lang w:val="el-GR"/>
                        </w:rPr>
                        <w:t xml:space="preserve"> </w:t>
                      </w:r>
                      <w:r w:rsidRPr="00604B3F">
                        <w:rPr>
                          <w:rFonts w:cs="Arial"/>
                          <w:bCs/>
                          <w:color w:val="021342"/>
                        </w:rPr>
                        <w:t>(%</w:t>
                      </w:r>
                      <w:r w:rsidR="00171B44">
                        <w:rPr>
                          <w:rFonts w:cs="Arial"/>
                          <w:bCs/>
                          <w:color w:val="021342"/>
                          <w:lang w:val="el-GR"/>
                        </w:rPr>
                        <w:t>)</w:t>
                      </w:r>
                    </w:p>
                  </w:txbxContent>
                </v:textbox>
              </v:shape>
            </w:pict>
          </mc:Fallback>
        </mc:AlternateContent>
      </w:r>
      <w:r w:rsidRPr="002268C2">
        <w:rPr>
          <w:noProof/>
          <w:sz w:val="11"/>
          <w:lang w:val="el-GR" w:eastAsia="el-GR"/>
        </w:rPr>
        <w:drawing>
          <wp:anchor distT="0" distB="0" distL="114300" distR="114300" simplePos="0" relativeHeight="487620608" behindDoc="0" locked="0" layoutInCell="1" allowOverlap="1" wp14:anchorId="129E2932" wp14:editId="11315206">
            <wp:simplePos x="0" y="0"/>
            <wp:positionH relativeFrom="column">
              <wp:posOffset>523240</wp:posOffset>
            </wp:positionH>
            <wp:positionV relativeFrom="paragraph">
              <wp:posOffset>476885</wp:posOffset>
            </wp:positionV>
            <wp:extent cx="2247900" cy="2096770"/>
            <wp:effectExtent l="0" t="0" r="0" b="0"/>
            <wp:wrapNone/>
            <wp:docPr id="1156887193" name="Chart 115688719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2268C2">
        <w:rPr>
          <w:noProof/>
          <w:sz w:val="11"/>
          <w:lang w:val="el-GR" w:eastAsia="el-GR"/>
        </w:rPr>
        <mc:AlternateContent>
          <mc:Choice Requires="wps">
            <w:drawing>
              <wp:anchor distT="36576" distB="36576" distL="36576" distR="36576" simplePos="0" relativeHeight="487618560" behindDoc="0" locked="0" layoutInCell="1" allowOverlap="1" wp14:anchorId="08F9CEDC" wp14:editId="55FE207D">
                <wp:simplePos x="0" y="0"/>
                <wp:positionH relativeFrom="column">
                  <wp:posOffset>539750</wp:posOffset>
                </wp:positionH>
                <wp:positionV relativeFrom="paragraph">
                  <wp:posOffset>34962</wp:posOffset>
                </wp:positionV>
                <wp:extent cx="2333625" cy="471805"/>
                <wp:effectExtent l="0" t="0" r="9525" b="4445"/>
                <wp:wrapNone/>
                <wp:docPr id="442390581" name="Text Box 442390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33625" cy="471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01BC35" w14:textId="77777777" w:rsidR="0025202B" w:rsidRPr="002C1E0E" w:rsidRDefault="002C1E0E" w:rsidP="002C1E0E">
                            <w:pPr>
                              <w:jc w:val="center"/>
                              <w:rPr>
                                <w:rFonts w:cs="Arial"/>
                                <w:bCs/>
                                <w:color w:val="021342"/>
                                <w:lang w:val="el-GR"/>
                              </w:rPr>
                            </w:pPr>
                            <w:r>
                              <w:rPr>
                                <w:rFonts w:cs="Arial"/>
                                <w:bCs/>
                                <w:color w:val="021342"/>
                                <w:lang w:val="el-GR"/>
                              </w:rPr>
                              <w:t>Απόδοση Ενσώματων Ιδίων Κεφαλαίων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9CEDC" id="Text Box 442390581" o:spid="_x0000_s1031" type="#_x0000_t202" style="position:absolute;margin-left:42.5pt;margin-top:2.75pt;width:183.75pt;height:37.15pt;z-index:487618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" filled="f" stroked="f" strokeweight="0" insetpen="t">
                <o:lock v:ext="edit" shapetype="t"/>
                <v:textbox inset="2.85pt,2.85pt,2.85pt,2.85pt">
                  <w:txbxContent>
                    <w:p w14:paraId="1001BC35" w14:textId="77777777" w:rsidR="0025202B" w:rsidRPr="002C1E0E" w:rsidRDefault="002C1E0E" w:rsidP="002C1E0E">
                      <w:pPr>
                        <w:jc w:val="center"/>
                        <w:rPr>
                          <w:rFonts w:cs="Arial"/>
                          <w:bCs/>
                          <w:color w:val="021342"/>
                          <w:lang w:val="el-GR"/>
                        </w:rPr>
                      </w:pPr>
                      <w:r>
                        <w:rPr>
                          <w:rFonts w:cs="Arial"/>
                          <w:bCs/>
                          <w:color w:val="021342"/>
                          <w:lang w:val="el-GR"/>
                        </w:rPr>
                        <w:t>Απόδοση Ενσώματων Ιδίων Κεφαλαίων (%)</w:t>
                      </w:r>
                    </w:p>
                  </w:txbxContent>
                </v:textbox>
              </v:shape>
            </w:pict>
          </mc:Fallback>
        </mc:AlternateContent>
      </w:r>
    </w:p>
    <w:p w14:paraId="1BE2622A" w14:textId="77777777" w:rsidR="007515EA" w:rsidRPr="007515EA" w:rsidRDefault="007515EA" w:rsidP="007515EA">
      <w:pPr>
        <w:rPr>
          <w:sz w:val="11"/>
          <w:lang w:val="el-GR"/>
        </w:rPr>
      </w:pPr>
    </w:p>
    <w:p w14:paraId="56DC937D" w14:textId="77777777" w:rsidR="007515EA" w:rsidRPr="007515EA" w:rsidRDefault="007515EA" w:rsidP="007515EA">
      <w:pPr>
        <w:rPr>
          <w:sz w:val="11"/>
          <w:lang w:val="el-GR"/>
        </w:rPr>
      </w:pPr>
    </w:p>
    <w:p w14:paraId="6712FF05" w14:textId="77777777" w:rsidR="007515EA" w:rsidRPr="007515EA" w:rsidRDefault="007515EA" w:rsidP="007515EA">
      <w:pPr>
        <w:rPr>
          <w:sz w:val="11"/>
          <w:lang w:val="el-GR"/>
        </w:rPr>
      </w:pPr>
    </w:p>
    <w:p w14:paraId="5ECE5023" w14:textId="77777777" w:rsidR="007515EA" w:rsidRPr="007515EA" w:rsidRDefault="007515EA" w:rsidP="007515EA">
      <w:pPr>
        <w:rPr>
          <w:sz w:val="11"/>
          <w:lang w:val="el-GR"/>
        </w:rPr>
      </w:pPr>
    </w:p>
    <w:p w14:paraId="2BE52914" w14:textId="1EAF3BAC" w:rsidR="007515EA" w:rsidRPr="007515EA" w:rsidRDefault="007515EA" w:rsidP="007515EA">
      <w:pPr>
        <w:rPr>
          <w:sz w:val="11"/>
          <w:lang w:val="el-GR"/>
        </w:rPr>
      </w:pPr>
    </w:p>
    <w:p w14:paraId="1165C05B" w14:textId="77777777" w:rsidR="007515EA" w:rsidRPr="007515EA" w:rsidRDefault="007515EA" w:rsidP="007515EA">
      <w:pPr>
        <w:rPr>
          <w:sz w:val="11"/>
          <w:lang w:val="el-GR"/>
        </w:rPr>
      </w:pPr>
    </w:p>
    <w:p w14:paraId="07911F9B" w14:textId="77777777" w:rsidR="007515EA" w:rsidRPr="007515EA" w:rsidRDefault="007515EA" w:rsidP="007515EA">
      <w:pPr>
        <w:rPr>
          <w:sz w:val="11"/>
          <w:lang w:val="el-GR"/>
        </w:rPr>
      </w:pPr>
    </w:p>
    <w:p w14:paraId="657627CA" w14:textId="77777777" w:rsidR="007515EA" w:rsidRPr="007515EA" w:rsidRDefault="00026226" w:rsidP="00026226">
      <w:pPr>
        <w:tabs>
          <w:tab w:val="left" w:pos="4381"/>
        </w:tabs>
        <w:rPr>
          <w:sz w:val="11"/>
          <w:lang w:val="el-GR"/>
        </w:rPr>
      </w:pPr>
      <w:r>
        <w:rPr>
          <w:sz w:val="11"/>
          <w:lang w:val="el-GR"/>
        </w:rPr>
        <w:tab/>
      </w:r>
    </w:p>
    <w:p w14:paraId="00E17037" w14:textId="77777777" w:rsidR="007515EA" w:rsidRPr="007515EA" w:rsidRDefault="007515EA" w:rsidP="007515EA">
      <w:pPr>
        <w:rPr>
          <w:sz w:val="11"/>
          <w:lang w:val="el-GR"/>
        </w:rPr>
      </w:pPr>
    </w:p>
    <w:p w14:paraId="639A9CCF" w14:textId="77777777" w:rsidR="007515EA" w:rsidRPr="007515EA" w:rsidRDefault="00026226" w:rsidP="00026226">
      <w:pPr>
        <w:tabs>
          <w:tab w:val="left" w:pos="4368"/>
        </w:tabs>
        <w:rPr>
          <w:sz w:val="11"/>
          <w:lang w:val="el-GR"/>
        </w:rPr>
      </w:pPr>
      <w:r>
        <w:rPr>
          <w:sz w:val="11"/>
          <w:lang w:val="el-GR"/>
        </w:rPr>
        <w:tab/>
      </w:r>
    </w:p>
    <w:p w14:paraId="3D7E9F32" w14:textId="77777777" w:rsidR="007515EA" w:rsidRPr="007515EA" w:rsidRDefault="007515EA" w:rsidP="007515EA">
      <w:pPr>
        <w:rPr>
          <w:sz w:val="11"/>
          <w:lang w:val="el-GR"/>
        </w:rPr>
      </w:pPr>
    </w:p>
    <w:p w14:paraId="3DAE18FB" w14:textId="77777777" w:rsidR="007515EA" w:rsidRPr="007515EA" w:rsidRDefault="007515EA" w:rsidP="007515EA">
      <w:pPr>
        <w:rPr>
          <w:sz w:val="11"/>
          <w:lang w:val="el-GR"/>
        </w:rPr>
      </w:pPr>
    </w:p>
    <w:p w14:paraId="5B012A87" w14:textId="77777777" w:rsidR="007515EA" w:rsidRPr="007515EA" w:rsidRDefault="007515EA" w:rsidP="007515EA">
      <w:pPr>
        <w:rPr>
          <w:sz w:val="11"/>
          <w:lang w:val="el-GR"/>
        </w:rPr>
      </w:pPr>
    </w:p>
    <w:p w14:paraId="56C9529C" w14:textId="77777777" w:rsidR="007515EA" w:rsidRPr="007515EA" w:rsidRDefault="007515EA" w:rsidP="007515EA">
      <w:pPr>
        <w:rPr>
          <w:sz w:val="11"/>
          <w:lang w:val="el-GR"/>
        </w:rPr>
      </w:pPr>
    </w:p>
    <w:p w14:paraId="04731526" w14:textId="77777777" w:rsidR="007515EA" w:rsidRPr="007515EA" w:rsidRDefault="007515EA" w:rsidP="007515EA">
      <w:pPr>
        <w:rPr>
          <w:sz w:val="11"/>
          <w:lang w:val="el-GR"/>
        </w:rPr>
      </w:pPr>
    </w:p>
    <w:p w14:paraId="4DFF0A8D" w14:textId="77777777" w:rsidR="007515EA" w:rsidRPr="007515EA" w:rsidRDefault="007515EA" w:rsidP="007515EA">
      <w:pPr>
        <w:rPr>
          <w:sz w:val="11"/>
          <w:lang w:val="el-GR"/>
        </w:rPr>
      </w:pPr>
    </w:p>
    <w:p w14:paraId="4C44A275" w14:textId="77777777" w:rsidR="007515EA" w:rsidRPr="007515EA" w:rsidRDefault="007515EA" w:rsidP="007515EA">
      <w:pPr>
        <w:rPr>
          <w:sz w:val="11"/>
          <w:lang w:val="el-GR"/>
        </w:rPr>
      </w:pPr>
    </w:p>
    <w:p w14:paraId="0019372D" w14:textId="77777777" w:rsidR="007515EA" w:rsidRPr="007515EA" w:rsidRDefault="007515EA" w:rsidP="007515EA">
      <w:pPr>
        <w:rPr>
          <w:sz w:val="11"/>
          <w:lang w:val="el-GR"/>
        </w:rPr>
      </w:pPr>
    </w:p>
    <w:p w14:paraId="62667690" w14:textId="77777777" w:rsidR="007515EA" w:rsidRPr="007515EA" w:rsidRDefault="007515EA" w:rsidP="007515EA">
      <w:pPr>
        <w:rPr>
          <w:sz w:val="11"/>
          <w:lang w:val="el-GR"/>
        </w:rPr>
      </w:pPr>
    </w:p>
    <w:p w14:paraId="0FDF5B84" w14:textId="77777777" w:rsidR="007515EA" w:rsidRPr="007515EA" w:rsidRDefault="007515EA" w:rsidP="007515EA">
      <w:pPr>
        <w:rPr>
          <w:sz w:val="11"/>
          <w:lang w:val="el-GR"/>
        </w:rPr>
      </w:pPr>
    </w:p>
    <w:p w14:paraId="06C698F8" w14:textId="77777777" w:rsidR="007515EA" w:rsidRPr="007515EA" w:rsidRDefault="007515EA" w:rsidP="007515EA">
      <w:pPr>
        <w:rPr>
          <w:sz w:val="11"/>
          <w:lang w:val="el-GR"/>
        </w:rPr>
      </w:pPr>
    </w:p>
    <w:p w14:paraId="0BE7168C" w14:textId="77777777" w:rsidR="007515EA" w:rsidRPr="007515EA" w:rsidRDefault="007515EA" w:rsidP="007515EA">
      <w:pPr>
        <w:rPr>
          <w:sz w:val="11"/>
          <w:lang w:val="el-GR"/>
        </w:rPr>
      </w:pPr>
    </w:p>
    <w:p w14:paraId="3B58B208" w14:textId="77777777" w:rsidR="007515EA" w:rsidRPr="007515EA" w:rsidRDefault="007515EA" w:rsidP="007515EA">
      <w:pPr>
        <w:rPr>
          <w:sz w:val="11"/>
          <w:lang w:val="el-GR"/>
        </w:rPr>
      </w:pPr>
    </w:p>
    <w:p w14:paraId="54B2A716" w14:textId="77777777" w:rsidR="007515EA" w:rsidRPr="007515EA" w:rsidRDefault="007515EA" w:rsidP="007515EA">
      <w:pPr>
        <w:rPr>
          <w:sz w:val="11"/>
          <w:lang w:val="el-GR"/>
        </w:rPr>
      </w:pPr>
    </w:p>
    <w:p w14:paraId="64C0CA16" w14:textId="77777777" w:rsidR="007515EA" w:rsidRPr="007515EA" w:rsidRDefault="007515EA" w:rsidP="007515EA">
      <w:pPr>
        <w:rPr>
          <w:sz w:val="11"/>
          <w:lang w:val="el-GR"/>
        </w:rPr>
      </w:pPr>
    </w:p>
    <w:p w14:paraId="531598B0" w14:textId="77777777" w:rsidR="007515EA" w:rsidRPr="007515EA" w:rsidRDefault="007515EA" w:rsidP="007515EA">
      <w:pPr>
        <w:rPr>
          <w:sz w:val="11"/>
          <w:lang w:val="el-GR"/>
        </w:rPr>
      </w:pPr>
    </w:p>
    <w:p w14:paraId="7E8F8AF3" w14:textId="77777777" w:rsidR="007515EA" w:rsidRPr="007515EA" w:rsidRDefault="007515EA" w:rsidP="007515EA">
      <w:pPr>
        <w:rPr>
          <w:sz w:val="11"/>
          <w:lang w:val="el-GR"/>
        </w:rPr>
      </w:pPr>
    </w:p>
    <w:p w14:paraId="63D28582" w14:textId="77777777" w:rsidR="007515EA" w:rsidRPr="007515EA" w:rsidRDefault="007515EA" w:rsidP="007515EA">
      <w:pPr>
        <w:rPr>
          <w:sz w:val="11"/>
          <w:lang w:val="el-GR"/>
        </w:rPr>
      </w:pPr>
    </w:p>
    <w:p w14:paraId="1E58C889" w14:textId="77777777" w:rsidR="007515EA" w:rsidRDefault="007515EA" w:rsidP="007515EA">
      <w:pPr>
        <w:rPr>
          <w:sz w:val="11"/>
          <w:lang w:val="el-GR"/>
        </w:rPr>
      </w:pPr>
    </w:p>
    <w:p w14:paraId="4F11F05B" w14:textId="77777777" w:rsidR="007515EA" w:rsidRDefault="007515EA" w:rsidP="007515EA">
      <w:pPr>
        <w:jc w:val="right"/>
        <w:rPr>
          <w:sz w:val="11"/>
          <w:lang w:val="el-GR"/>
        </w:rPr>
      </w:pPr>
    </w:p>
    <w:p w14:paraId="7E3EC2EC" w14:textId="77777777" w:rsidR="007515EA" w:rsidRDefault="007515EA" w:rsidP="007515EA">
      <w:pPr>
        <w:rPr>
          <w:sz w:val="11"/>
          <w:lang w:val="el-GR"/>
        </w:rPr>
      </w:pPr>
    </w:p>
    <w:p w14:paraId="48C8DF34" w14:textId="77777777" w:rsidR="00852D18" w:rsidRDefault="00852D18" w:rsidP="007515EA">
      <w:pPr>
        <w:rPr>
          <w:sz w:val="11"/>
          <w:lang w:val="el-GR"/>
        </w:rPr>
      </w:pPr>
    </w:p>
    <w:p w14:paraId="5D27B750" w14:textId="77777777" w:rsidR="00A65539" w:rsidRPr="00647F03" w:rsidRDefault="00A65539" w:rsidP="007515EA">
      <w:pPr>
        <w:rPr>
          <w:sz w:val="11"/>
          <w:lang w:val="el-GR"/>
        </w:rPr>
      </w:pPr>
    </w:p>
    <w:p w14:paraId="794B117A" w14:textId="77777777" w:rsidR="006F607C" w:rsidRPr="00647F03" w:rsidRDefault="006F607C" w:rsidP="007515EA">
      <w:pPr>
        <w:rPr>
          <w:sz w:val="11"/>
          <w:lang w:val="el-GR"/>
        </w:rPr>
      </w:pPr>
    </w:p>
    <w:p w14:paraId="6DE8473D" w14:textId="77777777" w:rsidR="006F607C" w:rsidRPr="00647F03" w:rsidRDefault="006F607C" w:rsidP="007515EA">
      <w:pPr>
        <w:rPr>
          <w:sz w:val="11"/>
          <w:lang w:val="el-GR"/>
        </w:rPr>
      </w:pPr>
    </w:p>
    <w:p w14:paraId="79F58F39" w14:textId="77777777" w:rsidR="006F607C" w:rsidRPr="00647F03" w:rsidRDefault="006F607C" w:rsidP="007515EA">
      <w:pPr>
        <w:rPr>
          <w:sz w:val="11"/>
          <w:lang w:val="el-GR"/>
        </w:rPr>
      </w:pPr>
    </w:p>
    <w:p w14:paraId="44DBBFF1" w14:textId="77777777" w:rsidR="00435D86" w:rsidRPr="00647F03" w:rsidRDefault="00435D86" w:rsidP="007515EA">
      <w:pPr>
        <w:rPr>
          <w:sz w:val="11"/>
          <w:lang w:val="el-GR"/>
        </w:rPr>
      </w:pPr>
    </w:p>
    <w:p w14:paraId="0C949197" w14:textId="77777777" w:rsidR="00435D86" w:rsidRPr="00647F03" w:rsidRDefault="00435D86" w:rsidP="007515EA">
      <w:pPr>
        <w:rPr>
          <w:sz w:val="11"/>
          <w:lang w:val="el-GR"/>
        </w:rPr>
      </w:pPr>
    </w:p>
    <w:p w14:paraId="778983F9" w14:textId="77777777" w:rsidR="00435D86" w:rsidRPr="00647F03" w:rsidRDefault="00435D86" w:rsidP="007515EA">
      <w:pPr>
        <w:rPr>
          <w:sz w:val="11"/>
          <w:lang w:val="el-GR"/>
        </w:rPr>
      </w:pPr>
    </w:p>
    <w:p w14:paraId="12A88863" w14:textId="77777777" w:rsidR="00435D86" w:rsidRPr="00647F03" w:rsidRDefault="00435D86" w:rsidP="007515EA">
      <w:pPr>
        <w:rPr>
          <w:sz w:val="11"/>
          <w:lang w:val="el-GR"/>
        </w:rPr>
      </w:pPr>
    </w:p>
    <w:p w14:paraId="139CDFD5" w14:textId="77777777" w:rsidR="00435D86" w:rsidRPr="00647F03" w:rsidRDefault="00435D86" w:rsidP="007515EA">
      <w:pPr>
        <w:rPr>
          <w:sz w:val="11"/>
          <w:lang w:val="el-GR"/>
        </w:rPr>
      </w:pPr>
    </w:p>
    <w:p w14:paraId="31CD5E6C" w14:textId="77777777" w:rsidR="00435D86" w:rsidRPr="00647F03" w:rsidRDefault="00435D86" w:rsidP="007515EA">
      <w:pPr>
        <w:rPr>
          <w:sz w:val="11"/>
          <w:lang w:val="el-GR"/>
        </w:rPr>
      </w:pPr>
    </w:p>
    <w:p w14:paraId="1B9FDFB8" w14:textId="77777777" w:rsidR="00435D86" w:rsidRPr="00647F03" w:rsidRDefault="00435D86" w:rsidP="007515EA">
      <w:pPr>
        <w:rPr>
          <w:sz w:val="11"/>
          <w:lang w:val="el-GR"/>
        </w:rPr>
      </w:pPr>
    </w:p>
    <w:p w14:paraId="0E474972" w14:textId="77777777" w:rsidR="00435D86" w:rsidRPr="00647F03" w:rsidRDefault="00435D86" w:rsidP="007515EA">
      <w:pPr>
        <w:rPr>
          <w:sz w:val="11"/>
          <w:lang w:val="el-GR"/>
        </w:rPr>
      </w:pPr>
    </w:p>
    <w:p w14:paraId="2DCA7E4C" w14:textId="77777777" w:rsidR="00435D86" w:rsidRPr="00647F03" w:rsidRDefault="00435D86" w:rsidP="007515EA">
      <w:pPr>
        <w:rPr>
          <w:sz w:val="11"/>
          <w:lang w:val="el-GR"/>
        </w:rPr>
      </w:pPr>
    </w:p>
    <w:p w14:paraId="7CEC9343" w14:textId="77777777" w:rsidR="00435D86" w:rsidRPr="00647F03" w:rsidRDefault="00435D86" w:rsidP="007515EA">
      <w:pPr>
        <w:rPr>
          <w:sz w:val="11"/>
          <w:lang w:val="el-GR"/>
        </w:rPr>
      </w:pPr>
    </w:p>
    <w:p w14:paraId="488ABB85" w14:textId="77777777" w:rsidR="00435D86" w:rsidRPr="00647F03" w:rsidRDefault="00435D86" w:rsidP="007515EA">
      <w:pPr>
        <w:rPr>
          <w:sz w:val="11"/>
          <w:lang w:val="el-GR"/>
        </w:rPr>
      </w:pPr>
    </w:p>
    <w:p w14:paraId="39E9683B" w14:textId="77777777" w:rsidR="00435D86" w:rsidRPr="00647F03" w:rsidRDefault="00435D86" w:rsidP="007515EA">
      <w:pPr>
        <w:rPr>
          <w:sz w:val="11"/>
          <w:lang w:val="el-GR"/>
        </w:rPr>
      </w:pPr>
    </w:p>
    <w:p w14:paraId="6329CD85" w14:textId="77777777" w:rsidR="006F607C" w:rsidRPr="00647F03" w:rsidRDefault="006F607C" w:rsidP="007515EA">
      <w:pPr>
        <w:rPr>
          <w:sz w:val="11"/>
          <w:lang w:val="el-GR"/>
        </w:rPr>
      </w:pPr>
    </w:p>
    <w:p w14:paraId="29DF8E0E" w14:textId="77777777" w:rsidR="00B36593" w:rsidRPr="00647F03" w:rsidRDefault="00B36593" w:rsidP="007515EA">
      <w:pPr>
        <w:rPr>
          <w:sz w:val="11"/>
          <w:lang w:val="el-GR"/>
        </w:rPr>
      </w:pPr>
    </w:p>
    <w:p w14:paraId="5335A579" w14:textId="77777777" w:rsidR="00C6706F" w:rsidRPr="00647F03" w:rsidRDefault="00C6706F" w:rsidP="007515EA">
      <w:pPr>
        <w:rPr>
          <w:sz w:val="11"/>
          <w:lang w:val="el-GR"/>
        </w:rPr>
      </w:pPr>
    </w:p>
    <w:p w14:paraId="3660906F" w14:textId="77777777" w:rsidR="00C6706F" w:rsidRPr="00647F03" w:rsidRDefault="00C6706F" w:rsidP="007515EA">
      <w:pPr>
        <w:rPr>
          <w:sz w:val="11"/>
          <w:lang w:val="el-GR"/>
        </w:rPr>
      </w:pPr>
    </w:p>
    <w:tbl>
      <w:tblPr>
        <w:tblW w:w="0" w:type="auto"/>
        <w:jc w:val="center"/>
        <w:tblBorders>
          <w:top w:val="single" w:sz="2" w:space="0" w:color="021142"/>
          <w:left w:val="single" w:sz="2" w:space="0" w:color="021142"/>
          <w:bottom w:val="single" w:sz="2" w:space="0" w:color="021142"/>
          <w:right w:val="single" w:sz="2" w:space="0" w:color="021142"/>
          <w:insideH w:val="single" w:sz="2" w:space="0" w:color="021142"/>
          <w:insideV w:val="single" w:sz="2" w:space="0" w:color="021142"/>
        </w:tblBorders>
        <w:tblLayout w:type="fixed"/>
        <w:tblCellMar>
          <w:left w:w="0" w:type="dxa"/>
          <w:right w:w="0" w:type="dxa"/>
        </w:tblCellMar>
        <w:tblLook w:val="01E0" w:firstRow="1" w:lastRow="1" w:firstColumn="1" w:lastColumn="1" w:noHBand="0" w:noVBand="0"/>
      </w:tblPr>
      <w:tblGrid>
        <w:gridCol w:w="4821"/>
        <w:gridCol w:w="1842"/>
        <w:gridCol w:w="1701"/>
        <w:gridCol w:w="1984"/>
      </w:tblGrid>
      <w:tr w:rsidR="00020F0D" w:rsidRPr="00AF2577" w14:paraId="3090B1C0" w14:textId="77777777" w:rsidTr="00C56999">
        <w:trPr>
          <w:trHeight w:val="525"/>
          <w:jc w:val="center"/>
        </w:trPr>
        <w:tc>
          <w:tcPr>
            <w:tcW w:w="4821" w:type="dxa"/>
            <w:tcBorders>
              <w:top w:val="nil"/>
              <w:left w:val="nil"/>
              <w:bottom w:val="nil"/>
              <w:right w:val="nil"/>
            </w:tcBorders>
            <w:shd w:val="clear" w:color="auto" w:fill="021142"/>
            <w:vAlign w:val="center"/>
          </w:tcPr>
          <w:p w14:paraId="06AE3154" w14:textId="77777777" w:rsidR="00020F0D" w:rsidRPr="003277BD" w:rsidRDefault="00020F0D" w:rsidP="003F55F4">
            <w:pPr>
              <w:pStyle w:val="TableParagraph"/>
              <w:spacing w:before="125"/>
              <w:ind w:left="0" w:right="0"/>
              <w:jc w:val="left"/>
              <w:rPr>
                <w:sz w:val="20"/>
                <w:lang w:val="el-GR"/>
              </w:rPr>
            </w:pPr>
            <w:bookmarkStart w:id="7" w:name="_Hlk109210751"/>
            <w:r>
              <w:rPr>
                <w:color w:val="FFFFFF"/>
                <w:sz w:val="20"/>
              </w:rPr>
              <w:t>Βασικά</w:t>
            </w:r>
            <w:r>
              <w:rPr>
                <w:color w:val="FFFFFF"/>
                <w:spacing w:val="-11"/>
                <w:sz w:val="20"/>
              </w:rPr>
              <w:t xml:space="preserve"> </w:t>
            </w:r>
            <w:r>
              <w:rPr>
                <w:color w:val="FFFFFF"/>
                <w:sz w:val="20"/>
              </w:rPr>
              <w:t>Οικονομικά</w:t>
            </w:r>
            <w:r>
              <w:rPr>
                <w:color w:val="FFFFFF"/>
                <w:spacing w:val="-11"/>
                <w:sz w:val="20"/>
              </w:rPr>
              <w:t xml:space="preserve"> </w:t>
            </w:r>
            <w:r>
              <w:rPr>
                <w:color w:val="FFFFFF"/>
                <w:sz w:val="20"/>
              </w:rPr>
              <w:t xml:space="preserve">Μεγέθη </w:t>
            </w:r>
            <w:r>
              <w:rPr>
                <w:color w:val="FFFFFF"/>
                <w:sz w:val="20"/>
                <w:lang w:val="el-GR"/>
              </w:rPr>
              <w:t>(€εκ.)</w:t>
            </w:r>
          </w:p>
        </w:tc>
        <w:tc>
          <w:tcPr>
            <w:tcW w:w="1842" w:type="dxa"/>
            <w:tcBorders>
              <w:top w:val="nil"/>
              <w:left w:val="nil"/>
              <w:bottom w:val="nil"/>
              <w:right w:val="nil"/>
            </w:tcBorders>
            <w:shd w:val="clear" w:color="auto" w:fill="021142"/>
            <w:vAlign w:val="center"/>
          </w:tcPr>
          <w:p w14:paraId="63A7181D" w14:textId="2D9C6D68" w:rsidR="00020F0D" w:rsidRPr="00061434" w:rsidRDefault="00020F0D" w:rsidP="002F4D5B">
            <w:pPr>
              <w:pStyle w:val="TableParagraph"/>
              <w:spacing w:before="125"/>
              <w:ind w:left="0" w:right="0"/>
              <w:rPr>
                <w:sz w:val="20"/>
                <w:lang w:val="el-GR"/>
              </w:rPr>
            </w:pPr>
            <w:r>
              <w:rPr>
                <w:color w:val="FFFFFF"/>
                <w:sz w:val="20"/>
                <w:lang w:val="el-GR"/>
              </w:rPr>
              <w:t>Α΄</w:t>
            </w:r>
            <w:r w:rsidR="00480AA4">
              <w:rPr>
                <w:color w:val="FFFFFF"/>
                <w:sz w:val="20"/>
                <w:lang w:val="el-GR"/>
              </w:rPr>
              <w:t xml:space="preserve"> Εξαμ. </w:t>
            </w:r>
            <w:r>
              <w:rPr>
                <w:color w:val="FFFFFF"/>
                <w:sz w:val="20"/>
                <w:lang w:val="el-GR"/>
              </w:rPr>
              <w:t>2025</w:t>
            </w:r>
          </w:p>
        </w:tc>
        <w:tc>
          <w:tcPr>
            <w:tcW w:w="1701" w:type="dxa"/>
            <w:tcBorders>
              <w:top w:val="nil"/>
              <w:left w:val="nil"/>
              <w:bottom w:val="nil"/>
              <w:right w:val="nil"/>
            </w:tcBorders>
            <w:shd w:val="clear" w:color="auto" w:fill="021142"/>
            <w:vAlign w:val="center"/>
          </w:tcPr>
          <w:p w14:paraId="1C54FE02" w14:textId="4901B2AE" w:rsidR="00020F0D" w:rsidRPr="00364250" w:rsidRDefault="00020F0D" w:rsidP="002F4D5B">
            <w:pPr>
              <w:pStyle w:val="TableParagraph"/>
              <w:spacing w:before="125"/>
              <w:ind w:left="0" w:right="0"/>
              <w:rPr>
                <w:sz w:val="20"/>
                <w:lang w:val="el-GR"/>
              </w:rPr>
            </w:pPr>
            <w:r>
              <w:rPr>
                <w:sz w:val="20"/>
              </w:rPr>
              <w:t>Α΄</w:t>
            </w:r>
            <w:r w:rsidR="00480AA4">
              <w:rPr>
                <w:sz w:val="20"/>
                <w:lang w:val="el-GR"/>
              </w:rPr>
              <w:t xml:space="preserve"> Εξαμ.</w:t>
            </w:r>
            <w:r>
              <w:rPr>
                <w:sz w:val="20"/>
              </w:rPr>
              <w:t xml:space="preserve"> 2024</w:t>
            </w:r>
          </w:p>
        </w:tc>
        <w:tc>
          <w:tcPr>
            <w:tcW w:w="1984" w:type="dxa"/>
            <w:tcBorders>
              <w:top w:val="nil"/>
              <w:left w:val="nil"/>
              <w:bottom w:val="nil"/>
              <w:right w:val="nil"/>
            </w:tcBorders>
            <w:shd w:val="clear" w:color="auto" w:fill="021142"/>
            <w:vAlign w:val="center"/>
          </w:tcPr>
          <w:p w14:paraId="03A154AB" w14:textId="1FB26450" w:rsidR="00020F0D" w:rsidRDefault="00480AA4" w:rsidP="002F4D5B">
            <w:pPr>
              <w:pStyle w:val="TableParagraph"/>
              <w:spacing w:before="125"/>
              <w:ind w:left="0" w:right="0"/>
              <w:rPr>
                <w:sz w:val="20"/>
              </w:rPr>
            </w:pPr>
            <w:r>
              <w:rPr>
                <w:color w:val="FFFFFF"/>
                <w:sz w:val="20"/>
                <w:lang w:val="el-GR"/>
              </w:rPr>
              <w:t xml:space="preserve">Μεταβολή </w:t>
            </w:r>
          </w:p>
        </w:tc>
      </w:tr>
      <w:tr w:rsidR="00480AA4" w14:paraId="58028C59" w14:textId="77777777" w:rsidTr="007E16AF">
        <w:trPr>
          <w:trHeight w:hRule="exact" w:val="454"/>
          <w:jc w:val="center"/>
        </w:trPr>
        <w:tc>
          <w:tcPr>
            <w:tcW w:w="4821" w:type="dxa"/>
            <w:tcBorders>
              <w:top w:val="nil"/>
            </w:tcBorders>
            <w:vAlign w:val="center"/>
          </w:tcPr>
          <w:p w14:paraId="39FFE95E" w14:textId="77777777" w:rsidR="00480AA4" w:rsidRDefault="00480AA4" w:rsidP="00480AA4">
            <w:pPr>
              <w:pStyle w:val="TableParagraph"/>
              <w:spacing w:before="124"/>
              <w:ind w:left="0" w:right="0"/>
              <w:jc w:val="left"/>
              <w:rPr>
                <w:sz w:val="20"/>
              </w:rPr>
            </w:pPr>
            <w:r>
              <w:rPr>
                <w:color w:val="021142"/>
                <w:sz w:val="20"/>
              </w:rPr>
              <w:t>Καθαρά</w:t>
            </w:r>
            <w:r>
              <w:rPr>
                <w:color w:val="021142"/>
                <w:spacing w:val="-11"/>
                <w:sz w:val="20"/>
              </w:rPr>
              <w:t xml:space="preserve"> </w:t>
            </w:r>
            <w:r>
              <w:rPr>
                <w:color w:val="021142"/>
                <w:sz w:val="20"/>
              </w:rPr>
              <w:t>Έσοδα</w:t>
            </w:r>
            <w:r>
              <w:rPr>
                <w:color w:val="021142"/>
                <w:spacing w:val="-11"/>
                <w:sz w:val="20"/>
              </w:rPr>
              <w:t xml:space="preserve"> </w:t>
            </w:r>
            <w:r>
              <w:rPr>
                <w:color w:val="021142"/>
                <w:sz w:val="20"/>
              </w:rPr>
              <w:t>από</w:t>
            </w:r>
            <w:r>
              <w:rPr>
                <w:color w:val="021142"/>
                <w:spacing w:val="-11"/>
                <w:sz w:val="20"/>
              </w:rPr>
              <w:t xml:space="preserve"> </w:t>
            </w:r>
            <w:r>
              <w:rPr>
                <w:color w:val="021142"/>
                <w:sz w:val="20"/>
              </w:rPr>
              <w:t>Τόκους</w:t>
            </w:r>
          </w:p>
        </w:tc>
        <w:tc>
          <w:tcPr>
            <w:tcW w:w="1842" w:type="dxa"/>
            <w:tcBorders>
              <w:top w:val="nil"/>
            </w:tcBorders>
            <w:vAlign w:val="center"/>
          </w:tcPr>
          <w:p w14:paraId="29A89417" w14:textId="19BF073D" w:rsidR="00480AA4" w:rsidRPr="004379E2" w:rsidRDefault="004379E2" w:rsidP="007E16AF">
            <w:pPr>
              <w:pStyle w:val="TableParagraph"/>
              <w:spacing w:before="124"/>
              <w:ind w:left="0" w:right="0"/>
              <w:rPr>
                <w:color w:val="021142"/>
                <w:sz w:val="20"/>
                <w:lang w:val="el-GR"/>
              </w:rPr>
            </w:pPr>
            <w:r w:rsidRPr="00950E8F">
              <w:rPr>
                <w:color w:val="021142"/>
                <w:sz w:val="20"/>
                <w:lang w:val="el-GR"/>
              </w:rPr>
              <w:t>1.270</w:t>
            </w:r>
          </w:p>
        </w:tc>
        <w:tc>
          <w:tcPr>
            <w:tcW w:w="1701" w:type="dxa"/>
            <w:tcBorders>
              <w:top w:val="nil"/>
            </w:tcBorders>
            <w:vAlign w:val="center"/>
          </w:tcPr>
          <w:p w14:paraId="43460122" w14:textId="50856F26" w:rsidR="00480AA4" w:rsidRPr="007604E4" w:rsidRDefault="00480AA4" w:rsidP="007E16AF">
            <w:pPr>
              <w:pStyle w:val="TableParagraph"/>
              <w:spacing w:before="124"/>
              <w:ind w:left="0" w:right="0"/>
              <w:rPr>
                <w:color w:val="021142"/>
                <w:sz w:val="20"/>
                <w:lang w:val="el-GR"/>
              </w:rPr>
            </w:pPr>
            <w:r w:rsidRPr="00C20F73">
              <w:rPr>
                <w:color w:val="021142"/>
                <w:sz w:val="20"/>
              </w:rPr>
              <w:t>1</w:t>
            </w:r>
            <w:r w:rsidR="004379E2">
              <w:rPr>
                <w:color w:val="021142"/>
                <w:sz w:val="20"/>
                <w:lang w:val="el-GR"/>
              </w:rPr>
              <w:t>.</w:t>
            </w:r>
            <w:r w:rsidRPr="00C20F73">
              <w:rPr>
                <w:color w:val="021142"/>
                <w:sz w:val="20"/>
              </w:rPr>
              <w:t>132</w:t>
            </w:r>
          </w:p>
        </w:tc>
        <w:tc>
          <w:tcPr>
            <w:tcW w:w="1984" w:type="dxa"/>
            <w:tcBorders>
              <w:top w:val="nil"/>
            </w:tcBorders>
            <w:vAlign w:val="center"/>
          </w:tcPr>
          <w:p w14:paraId="6FA659D4" w14:textId="2A05E34A" w:rsidR="00480AA4" w:rsidRPr="004379E2" w:rsidRDefault="004379E2" w:rsidP="007E16AF">
            <w:pPr>
              <w:pStyle w:val="TableParagraph"/>
              <w:spacing w:before="124"/>
              <w:ind w:left="0" w:right="0"/>
              <w:rPr>
                <w:color w:val="021142"/>
                <w:sz w:val="20"/>
                <w:lang w:val="el-GR"/>
              </w:rPr>
            </w:pPr>
            <w:r w:rsidRPr="00950E8F">
              <w:rPr>
                <w:color w:val="021142"/>
                <w:sz w:val="20"/>
                <w:lang w:val="el-GR"/>
              </w:rPr>
              <w:t>12,2%</w:t>
            </w:r>
          </w:p>
        </w:tc>
      </w:tr>
      <w:tr w:rsidR="00480AA4" w14:paraId="5306B6B9" w14:textId="77777777" w:rsidTr="007E16AF">
        <w:trPr>
          <w:trHeight w:hRule="exact" w:val="454"/>
          <w:jc w:val="center"/>
        </w:trPr>
        <w:tc>
          <w:tcPr>
            <w:tcW w:w="4821" w:type="dxa"/>
            <w:vAlign w:val="center"/>
          </w:tcPr>
          <w:p w14:paraId="74CF233F" w14:textId="77777777" w:rsidR="00480AA4" w:rsidRDefault="00480AA4" w:rsidP="00480AA4">
            <w:pPr>
              <w:pStyle w:val="TableParagraph"/>
              <w:ind w:left="0" w:right="0"/>
              <w:jc w:val="left"/>
              <w:rPr>
                <w:sz w:val="20"/>
              </w:rPr>
            </w:pPr>
            <w:r>
              <w:rPr>
                <w:color w:val="021142"/>
                <w:sz w:val="20"/>
              </w:rPr>
              <w:t>Καθαρά</w:t>
            </w:r>
            <w:r>
              <w:rPr>
                <w:color w:val="021142"/>
                <w:spacing w:val="-10"/>
                <w:sz w:val="20"/>
              </w:rPr>
              <w:t xml:space="preserve"> </w:t>
            </w:r>
            <w:r>
              <w:rPr>
                <w:color w:val="021142"/>
                <w:sz w:val="20"/>
              </w:rPr>
              <w:t>Έσοδα</w:t>
            </w:r>
            <w:r>
              <w:rPr>
                <w:color w:val="021142"/>
                <w:spacing w:val="-10"/>
                <w:sz w:val="20"/>
              </w:rPr>
              <w:t xml:space="preserve"> </w:t>
            </w:r>
            <w:r>
              <w:rPr>
                <w:color w:val="021142"/>
                <w:sz w:val="20"/>
              </w:rPr>
              <w:t>Προμηθειών</w:t>
            </w:r>
          </w:p>
        </w:tc>
        <w:tc>
          <w:tcPr>
            <w:tcW w:w="1842" w:type="dxa"/>
            <w:vAlign w:val="center"/>
          </w:tcPr>
          <w:p w14:paraId="49881DD3" w14:textId="3EED6998" w:rsidR="00480AA4" w:rsidRPr="004379E2" w:rsidRDefault="004379E2" w:rsidP="007E16AF">
            <w:pPr>
              <w:pStyle w:val="TableParagraph"/>
              <w:spacing w:before="124"/>
              <w:ind w:left="0" w:right="0"/>
              <w:rPr>
                <w:color w:val="021142"/>
                <w:sz w:val="20"/>
                <w:lang w:val="el-GR"/>
              </w:rPr>
            </w:pPr>
            <w:r w:rsidRPr="00950E8F">
              <w:rPr>
                <w:color w:val="021142"/>
                <w:sz w:val="20"/>
                <w:lang w:val="el-GR"/>
              </w:rPr>
              <w:t>364</w:t>
            </w:r>
          </w:p>
        </w:tc>
        <w:tc>
          <w:tcPr>
            <w:tcW w:w="1701" w:type="dxa"/>
            <w:vAlign w:val="center"/>
          </w:tcPr>
          <w:p w14:paraId="05ECFDE6" w14:textId="34F8D2A6" w:rsidR="00480AA4" w:rsidRPr="007604E4" w:rsidRDefault="00480AA4" w:rsidP="007E16AF">
            <w:pPr>
              <w:pStyle w:val="TableParagraph"/>
              <w:spacing w:before="124"/>
              <w:ind w:left="0" w:right="0"/>
              <w:rPr>
                <w:color w:val="021142"/>
                <w:sz w:val="20"/>
                <w:lang w:val="el-GR"/>
              </w:rPr>
            </w:pPr>
            <w:r w:rsidRPr="00C20F73">
              <w:rPr>
                <w:color w:val="021142"/>
                <w:sz w:val="20"/>
              </w:rPr>
              <w:t>283</w:t>
            </w:r>
          </w:p>
        </w:tc>
        <w:tc>
          <w:tcPr>
            <w:tcW w:w="1984" w:type="dxa"/>
            <w:vAlign w:val="center"/>
          </w:tcPr>
          <w:p w14:paraId="6FD516A6" w14:textId="48B5E965" w:rsidR="00480AA4" w:rsidRPr="004379E2" w:rsidRDefault="00480AA4" w:rsidP="007E16AF">
            <w:pPr>
              <w:pStyle w:val="TableParagraph"/>
              <w:spacing w:before="124"/>
              <w:ind w:left="0" w:right="0"/>
              <w:rPr>
                <w:color w:val="021142"/>
                <w:sz w:val="20"/>
                <w:lang w:val="el-GR"/>
              </w:rPr>
            </w:pPr>
            <w:r w:rsidRPr="004379E2">
              <w:rPr>
                <w:color w:val="021142"/>
                <w:sz w:val="20"/>
                <w:lang w:val="el-GR"/>
              </w:rPr>
              <w:t>2</w:t>
            </w:r>
            <w:r w:rsidR="004379E2" w:rsidRPr="00950E8F">
              <w:rPr>
                <w:color w:val="021142"/>
                <w:sz w:val="20"/>
                <w:lang w:val="el-GR"/>
              </w:rPr>
              <w:t>8,9%</w:t>
            </w:r>
          </w:p>
        </w:tc>
      </w:tr>
      <w:tr w:rsidR="00480AA4" w14:paraId="117A7B56" w14:textId="77777777" w:rsidTr="007E16AF">
        <w:trPr>
          <w:trHeight w:hRule="exact" w:val="454"/>
          <w:jc w:val="center"/>
        </w:trPr>
        <w:tc>
          <w:tcPr>
            <w:tcW w:w="4821" w:type="dxa"/>
            <w:vAlign w:val="center"/>
          </w:tcPr>
          <w:p w14:paraId="439CBD09" w14:textId="77777777" w:rsidR="00480AA4" w:rsidRDefault="00480AA4" w:rsidP="00480AA4">
            <w:pPr>
              <w:pStyle w:val="TableParagraph"/>
              <w:ind w:left="0" w:right="0"/>
              <w:jc w:val="left"/>
              <w:rPr>
                <w:sz w:val="20"/>
              </w:rPr>
            </w:pPr>
            <w:r>
              <w:rPr>
                <w:color w:val="021142"/>
                <w:spacing w:val="-1"/>
                <w:sz w:val="20"/>
              </w:rPr>
              <w:t>Λειτουργικά</w:t>
            </w:r>
            <w:r>
              <w:rPr>
                <w:color w:val="021142"/>
                <w:spacing w:val="-10"/>
                <w:sz w:val="20"/>
              </w:rPr>
              <w:t xml:space="preserve"> </w:t>
            </w:r>
            <w:r>
              <w:rPr>
                <w:color w:val="021142"/>
                <w:sz w:val="20"/>
              </w:rPr>
              <w:t>Έσοδα</w:t>
            </w:r>
          </w:p>
        </w:tc>
        <w:tc>
          <w:tcPr>
            <w:tcW w:w="1842" w:type="dxa"/>
            <w:vAlign w:val="center"/>
          </w:tcPr>
          <w:p w14:paraId="6F0CD656" w14:textId="05C79F49" w:rsidR="00480AA4" w:rsidRPr="004379E2" w:rsidRDefault="004379E2" w:rsidP="007E16AF">
            <w:pPr>
              <w:pStyle w:val="TableParagraph"/>
              <w:spacing w:before="124"/>
              <w:ind w:left="0" w:right="0"/>
              <w:rPr>
                <w:color w:val="021142"/>
                <w:sz w:val="20"/>
                <w:lang w:val="el-GR"/>
              </w:rPr>
            </w:pPr>
            <w:r w:rsidRPr="00950E8F">
              <w:rPr>
                <w:color w:val="021142"/>
                <w:sz w:val="20"/>
                <w:lang w:val="el-GR"/>
              </w:rPr>
              <w:t>1.661</w:t>
            </w:r>
          </w:p>
        </w:tc>
        <w:tc>
          <w:tcPr>
            <w:tcW w:w="1701" w:type="dxa"/>
            <w:vAlign w:val="center"/>
          </w:tcPr>
          <w:p w14:paraId="5A8799CD" w14:textId="563673F5" w:rsidR="00480AA4" w:rsidRPr="007604E4" w:rsidRDefault="00480AA4" w:rsidP="007E16AF">
            <w:pPr>
              <w:pStyle w:val="TableParagraph"/>
              <w:spacing w:before="124"/>
              <w:ind w:left="0" w:right="0"/>
              <w:rPr>
                <w:color w:val="021142"/>
                <w:sz w:val="20"/>
                <w:lang w:val="el-GR"/>
              </w:rPr>
            </w:pPr>
            <w:r w:rsidRPr="00C20F73">
              <w:rPr>
                <w:color w:val="021142"/>
                <w:sz w:val="20"/>
              </w:rPr>
              <w:t>1</w:t>
            </w:r>
            <w:r w:rsidR="004379E2">
              <w:rPr>
                <w:color w:val="021142"/>
                <w:sz w:val="20"/>
                <w:lang w:val="el-GR"/>
              </w:rPr>
              <w:t>.</w:t>
            </w:r>
            <w:r w:rsidRPr="00C20F73">
              <w:rPr>
                <w:color w:val="021142"/>
                <w:sz w:val="20"/>
              </w:rPr>
              <w:t>460</w:t>
            </w:r>
          </w:p>
        </w:tc>
        <w:tc>
          <w:tcPr>
            <w:tcW w:w="1984" w:type="dxa"/>
            <w:vAlign w:val="center"/>
          </w:tcPr>
          <w:p w14:paraId="1F24315B" w14:textId="020B5FF0" w:rsidR="00480AA4" w:rsidRPr="004379E2" w:rsidRDefault="004379E2" w:rsidP="007E16AF">
            <w:pPr>
              <w:pStyle w:val="TableParagraph"/>
              <w:spacing w:before="124"/>
              <w:ind w:left="0" w:right="0"/>
              <w:rPr>
                <w:color w:val="021142"/>
                <w:sz w:val="20"/>
                <w:lang w:val="el-GR"/>
              </w:rPr>
            </w:pPr>
            <w:r w:rsidRPr="00950E8F">
              <w:rPr>
                <w:color w:val="021142"/>
                <w:sz w:val="20"/>
                <w:lang w:val="el-GR"/>
              </w:rPr>
              <w:t>13,8%</w:t>
            </w:r>
          </w:p>
        </w:tc>
      </w:tr>
      <w:tr w:rsidR="004379E2" w14:paraId="0028F17A" w14:textId="77777777" w:rsidTr="007E16AF">
        <w:trPr>
          <w:trHeight w:hRule="exact" w:val="454"/>
          <w:jc w:val="center"/>
        </w:trPr>
        <w:tc>
          <w:tcPr>
            <w:tcW w:w="4821" w:type="dxa"/>
            <w:vAlign w:val="center"/>
          </w:tcPr>
          <w:p w14:paraId="22DA5275" w14:textId="77777777" w:rsidR="004379E2" w:rsidRDefault="004379E2" w:rsidP="004379E2">
            <w:pPr>
              <w:pStyle w:val="TableParagraph"/>
              <w:ind w:left="0" w:right="0"/>
              <w:jc w:val="left"/>
              <w:rPr>
                <w:sz w:val="20"/>
              </w:rPr>
            </w:pPr>
            <w:r>
              <w:rPr>
                <w:color w:val="021142"/>
                <w:spacing w:val="-1"/>
                <w:sz w:val="20"/>
              </w:rPr>
              <w:t>Λειτουργικά</w:t>
            </w:r>
            <w:r>
              <w:rPr>
                <w:color w:val="021142"/>
                <w:spacing w:val="-10"/>
                <w:sz w:val="20"/>
              </w:rPr>
              <w:t xml:space="preserve"> </w:t>
            </w:r>
            <w:r>
              <w:rPr>
                <w:color w:val="021142"/>
                <w:sz w:val="20"/>
              </w:rPr>
              <w:t>Έξοδα</w:t>
            </w:r>
          </w:p>
        </w:tc>
        <w:tc>
          <w:tcPr>
            <w:tcW w:w="1842" w:type="dxa"/>
            <w:vAlign w:val="center"/>
          </w:tcPr>
          <w:p w14:paraId="2C9A1F88" w14:textId="096C3D2D" w:rsidR="004379E2" w:rsidRPr="004379E2" w:rsidRDefault="004379E2" w:rsidP="007E16AF">
            <w:pPr>
              <w:pStyle w:val="TableParagraph"/>
              <w:spacing w:before="124"/>
              <w:ind w:left="0" w:right="0"/>
              <w:rPr>
                <w:color w:val="021142"/>
                <w:sz w:val="20"/>
                <w:lang w:val="el-GR"/>
              </w:rPr>
            </w:pPr>
            <w:r w:rsidRPr="00950E8F">
              <w:rPr>
                <w:color w:val="021142"/>
                <w:sz w:val="20"/>
                <w:lang w:val="el-GR"/>
              </w:rPr>
              <w:t>614</w:t>
            </w:r>
          </w:p>
        </w:tc>
        <w:tc>
          <w:tcPr>
            <w:tcW w:w="1701" w:type="dxa"/>
            <w:vAlign w:val="center"/>
          </w:tcPr>
          <w:p w14:paraId="2FB873C2" w14:textId="1873A9AA" w:rsidR="004379E2" w:rsidRPr="007604E4" w:rsidRDefault="004379E2" w:rsidP="007E16AF">
            <w:pPr>
              <w:pStyle w:val="TableParagraph"/>
              <w:spacing w:before="124"/>
              <w:ind w:left="0" w:right="0"/>
              <w:rPr>
                <w:color w:val="021142"/>
                <w:sz w:val="20"/>
                <w:lang w:val="el-GR"/>
              </w:rPr>
            </w:pPr>
            <w:r w:rsidRPr="00C20F73">
              <w:rPr>
                <w:color w:val="021142"/>
                <w:sz w:val="20"/>
              </w:rPr>
              <w:t>457</w:t>
            </w:r>
          </w:p>
        </w:tc>
        <w:tc>
          <w:tcPr>
            <w:tcW w:w="1984" w:type="dxa"/>
            <w:vAlign w:val="center"/>
          </w:tcPr>
          <w:p w14:paraId="523D9AAA" w14:textId="28409FB7" w:rsidR="004379E2" w:rsidRPr="00950E8F" w:rsidRDefault="004379E2" w:rsidP="007E16AF">
            <w:pPr>
              <w:pStyle w:val="TableParagraph"/>
              <w:spacing w:before="124"/>
              <w:ind w:left="0" w:right="0"/>
              <w:rPr>
                <w:color w:val="021142"/>
                <w:sz w:val="20"/>
                <w:highlight w:val="yellow"/>
                <w:lang w:val="el-GR"/>
              </w:rPr>
            </w:pPr>
            <w:r w:rsidRPr="008540EF">
              <w:rPr>
                <w:color w:val="021142"/>
                <w:sz w:val="20"/>
                <w:lang w:val="el-GR"/>
              </w:rPr>
              <w:t>3</w:t>
            </w:r>
            <w:r w:rsidRPr="0043202F">
              <w:rPr>
                <w:color w:val="021142"/>
                <w:sz w:val="20"/>
                <w:lang w:val="en-GB"/>
              </w:rPr>
              <w:t>4</w:t>
            </w:r>
            <w:r>
              <w:rPr>
                <w:color w:val="021142"/>
                <w:sz w:val="20"/>
                <w:lang w:val="el-GR"/>
              </w:rPr>
              <w:t>,</w:t>
            </w:r>
            <w:r w:rsidRPr="0043202F">
              <w:rPr>
                <w:color w:val="021142"/>
                <w:sz w:val="20"/>
                <w:lang w:val="en-GB"/>
              </w:rPr>
              <w:t>3</w:t>
            </w:r>
            <w:r w:rsidRPr="008540EF">
              <w:rPr>
                <w:color w:val="021142"/>
                <w:sz w:val="20"/>
                <w:lang w:val="el-GR"/>
              </w:rPr>
              <w:t>%</w:t>
            </w:r>
          </w:p>
        </w:tc>
      </w:tr>
      <w:tr w:rsidR="004379E2" w14:paraId="1FE3DDE3" w14:textId="77777777" w:rsidTr="007E16AF">
        <w:trPr>
          <w:trHeight w:hRule="exact" w:val="454"/>
          <w:jc w:val="center"/>
        </w:trPr>
        <w:tc>
          <w:tcPr>
            <w:tcW w:w="4821" w:type="dxa"/>
            <w:vAlign w:val="center"/>
          </w:tcPr>
          <w:p w14:paraId="3DC4826D" w14:textId="69388517" w:rsidR="004379E2" w:rsidRPr="003F55F4" w:rsidRDefault="004379E2" w:rsidP="004379E2">
            <w:pPr>
              <w:pStyle w:val="TableParagraph"/>
              <w:spacing w:before="37" w:line="240" w:lineRule="atLeast"/>
              <w:ind w:left="0" w:right="1027"/>
              <w:jc w:val="left"/>
              <w:rPr>
                <w:sz w:val="20"/>
                <w:lang w:val="el-GR"/>
              </w:rPr>
            </w:pPr>
            <w:r>
              <w:rPr>
                <w:color w:val="021142"/>
                <w:sz w:val="20"/>
              </w:rPr>
              <w:t>Οργανικά Κέρδη</w:t>
            </w:r>
            <w:r>
              <w:rPr>
                <w:color w:val="021142"/>
                <w:spacing w:val="1"/>
                <w:sz w:val="20"/>
              </w:rPr>
              <w:t xml:space="preserve"> </w:t>
            </w:r>
            <w:r>
              <w:rPr>
                <w:color w:val="021142"/>
                <w:spacing w:val="-3"/>
                <w:sz w:val="20"/>
              </w:rPr>
              <w:t>πρ</w:t>
            </w:r>
            <w:r>
              <w:rPr>
                <w:color w:val="021142"/>
                <w:spacing w:val="-3"/>
                <w:sz w:val="20"/>
                <w:lang w:val="el-GR"/>
              </w:rPr>
              <w:t xml:space="preserve">ο </w:t>
            </w:r>
            <w:r>
              <w:rPr>
                <w:color w:val="021142"/>
                <w:spacing w:val="-2"/>
                <w:sz w:val="20"/>
              </w:rPr>
              <w:t>Προβλέ</w:t>
            </w:r>
            <w:r>
              <w:rPr>
                <w:color w:val="021142"/>
                <w:spacing w:val="-2"/>
                <w:sz w:val="20"/>
                <w:lang w:val="el-GR"/>
              </w:rPr>
              <w:t>ψεων</w:t>
            </w:r>
          </w:p>
        </w:tc>
        <w:tc>
          <w:tcPr>
            <w:tcW w:w="1842" w:type="dxa"/>
            <w:vAlign w:val="center"/>
          </w:tcPr>
          <w:p w14:paraId="36CC76C7" w14:textId="523BE637" w:rsidR="004379E2" w:rsidRPr="004379E2" w:rsidRDefault="004379E2" w:rsidP="007E16AF">
            <w:pPr>
              <w:pStyle w:val="TableParagraph"/>
              <w:spacing w:before="124"/>
              <w:ind w:left="0" w:right="0"/>
              <w:rPr>
                <w:color w:val="021142"/>
                <w:sz w:val="20"/>
                <w:lang w:val="el-GR"/>
              </w:rPr>
            </w:pPr>
            <w:r w:rsidRPr="00950E8F">
              <w:rPr>
                <w:color w:val="021142"/>
                <w:sz w:val="20"/>
                <w:lang w:val="el-GR"/>
              </w:rPr>
              <w:t>1.021</w:t>
            </w:r>
          </w:p>
        </w:tc>
        <w:tc>
          <w:tcPr>
            <w:tcW w:w="1701" w:type="dxa"/>
            <w:vAlign w:val="center"/>
          </w:tcPr>
          <w:p w14:paraId="5CF576B9" w14:textId="5EFBAD0C" w:rsidR="004379E2" w:rsidRPr="007604E4" w:rsidRDefault="004379E2" w:rsidP="007E16AF">
            <w:pPr>
              <w:pStyle w:val="TableParagraph"/>
              <w:spacing w:before="124"/>
              <w:ind w:left="0" w:right="0"/>
              <w:rPr>
                <w:color w:val="021142"/>
                <w:sz w:val="20"/>
                <w:lang w:val="el-GR"/>
              </w:rPr>
            </w:pPr>
            <w:r w:rsidRPr="00C20F73">
              <w:rPr>
                <w:color w:val="021142"/>
                <w:sz w:val="20"/>
              </w:rPr>
              <w:t>958</w:t>
            </w:r>
          </w:p>
        </w:tc>
        <w:tc>
          <w:tcPr>
            <w:tcW w:w="1984" w:type="dxa"/>
            <w:vAlign w:val="center"/>
          </w:tcPr>
          <w:p w14:paraId="4FD88D85" w14:textId="782A9E71" w:rsidR="004379E2" w:rsidRPr="00950E8F" w:rsidRDefault="004379E2" w:rsidP="007E16AF">
            <w:pPr>
              <w:pStyle w:val="TableParagraph"/>
              <w:spacing w:before="124"/>
              <w:ind w:left="0" w:right="0"/>
              <w:rPr>
                <w:color w:val="021142"/>
                <w:sz w:val="20"/>
                <w:highlight w:val="yellow"/>
                <w:lang w:val="el-GR"/>
              </w:rPr>
            </w:pPr>
            <w:r w:rsidRPr="0043202F">
              <w:rPr>
                <w:color w:val="021142"/>
                <w:sz w:val="20"/>
                <w:lang w:val="en-GB"/>
              </w:rPr>
              <w:t>6</w:t>
            </w:r>
            <w:r>
              <w:rPr>
                <w:color w:val="021142"/>
                <w:sz w:val="20"/>
                <w:lang w:val="el-GR"/>
              </w:rPr>
              <w:t>,</w:t>
            </w:r>
            <w:r w:rsidRPr="0043202F">
              <w:rPr>
                <w:color w:val="021142"/>
                <w:sz w:val="20"/>
                <w:lang w:val="en-GB"/>
              </w:rPr>
              <w:t>6</w:t>
            </w:r>
            <w:r w:rsidRPr="008540EF">
              <w:rPr>
                <w:color w:val="021142"/>
                <w:sz w:val="20"/>
                <w:lang w:val="el-GR"/>
              </w:rPr>
              <w:t>%</w:t>
            </w:r>
          </w:p>
        </w:tc>
      </w:tr>
      <w:tr w:rsidR="004379E2" w14:paraId="73102B17" w14:textId="77777777" w:rsidTr="007E16AF">
        <w:trPr>
          <w:trHeight w:hRule="exact" w:val="454"/>
          <w:jc w:val="center"/>
        </w:trPr>
        <w:tc>
          <w:tcPr>
            <w:tcW w:w="4821" w:type="dxa"/>
            <w:vAlign w:val="center"/>
          </w:tcPr>
          <w:p w14:paraId="03C41DB8" w14:textId="77777777" w:rsidR="004379E2" w:rsidRDefault="004379E2" w:rsidP="004379E2">
            <w:pPr>
              <w:pStyle w:val="TableParagraph"/>
              <w:ind w:left="0" w:right="0"/>
              <w:jc w:val="left"/>
              <w:rPr>
                <w:sz w:val="20"/>
              </w:rPr>
            </w:pPr>
            <w:r>
              <w:rPr>
                <w:color w:val="021142"/>
                <w:sz w:val="20"/>
              </w:rPr>
              <w:t>Κέρδη</w:t>
            </w:r>
            <w:r>
              <w:rPr>
                <w:color w:val="021142"/>
                <w:spacing w:val="-9"/>
                <w:sz w:val="20"/>
              </w:rPr>
              <w:t xml:space="preserve"> </w:t>
            </w:r>
            <w:r>
              <w:rPr>
                <w:color w:val="021142"/>
                <w:sz w:val="20"/>
              </w:rPr>
              <w:t>προ</w:t>
            </w:r>
            <w:r>
              <w:rPr>
                <w:color w:val="021142"/>
                <w:spacing w:val="-9"/>
                <w:sz w:val="20"/>
              </w:rPr>
              <w:t xml:space="preserve"> </w:t>
            </w:r>
            <w:r>
              <w:rPr>
                <w:color w:val="021142"/>
                <w:sz w:val="20"/>
              </w:rPr>
              <w:t>Προβλέψεων</w:t>
            </w:r>
          </w:p>
        </w:tc>
        <w:tc>
          <w:tcPr>
            <w:tcW w:w="1842" w:type="dxa"/>
            <w:vAlign w:val="center"/>
          </w:tcPr>
          <w:p w14:paraId="15B4BD90" w14:textId="160D4346" w:rsidR="004379E2" w:rsidRPr="004379E2" w:rsidRDefault="004379E2" w:rsidP="007E16AF">
            <w:pPr>
              <w:pStyle w:val="TableParagraph"/>
              <w:spacing w:before="124"/>
              <w:ind w:left="0" w:right="0"/>
              <w:rPr>
                <w:color w:val="021142"/>
                <w:sz w:val="20"/>
                <w:lang w:val="el-GR"/>
              </w:rPr>
            </w:pPr>
            <w:r w:rsidRPr="00950E8F">
              <w:rPr>
                <w:color w:val="021142"/>
                <w:sz w:val="20"/>
                <w:lang w:val="el-GR"/>
              </w:rPr>
              <w:t>1.047</w:t>
            </w:r>
          </w:p>
        </w:tc>
        <w:tc>
          <w:tcPr>
            <w:tcW w:w="1701" w:type="dxa"/>
            <w:vAlign w:val="center"/>
          </w:tcPr>
          <w:p w14:paraId="51D90D1C" w14:textId="15DA8F67" w:rsidR="004379E2" w:rsidRPr="007604E4" w:rsidRDefault="004379E2" w:rsidP="007E16AF">
            <w:pPr>
              <w:pStyle w:val="TableParagraph"/>
              <w:spacing w:before="124"/>
              <w:ind w:left="0" w:right="0"/>
              <w:rPr>
                <w:color w:val="021142"/>
                <w:sz w:val="20"/>
                <w:lang w:val="el-GR"/>
              </w:rPr>
            </w:pPr>
            <w:r w:rsidRPr="00C20F73">
              <w:rPr>
                <w:color w:val="021142"/>
                <w:sz w:val="20"/>
              </w:rPr>
              <w:t>1</w:t>
            </w:r>
            <w:r>
              <w:rPr>
                <w:color w:val="021142"/>
                <w:sz w:val="20"/>
                <w:lang w:val="el-GR"/>
              </w:rPr>
              <w:t>.</w:t>
            </w:r>
            <w:r w:rsidRPr="00C20F73">
              <w:rPr>
                <w:color w:val="021142"/>
                <w:sz w:val="20"/>
              </w:rPr>
              <w:t>003</w:t>
            </w:r>
          </w:p>
        </w:tc>
        <w:tc>
          <w:tcPr>
            <w:tcW w:w="1984" w:type="dxa"/>
            <w:vAlign w:val="center"/>
          </w:tcPr>
          <w:p w14:paraId="0ED8D62C" w14:textId="7CBC1404" w:rsidR="004379E2" w:rsidRPr="00950E8F" w:rsidRDefault="004379E2" w:rsidP="007E16AF">
            <w:pPr>
              <w:pStyle w:val="TableParagraph"/>
              <w:spacing w:before="124"/>
              <w:ind w:left="0" w:right="0"/>
              <w:rPr>
                <w:color w:val="021142"/>
                <w:sz w:val="20"/>
                <w:highlight w:val="yellow"/>
                <w:lang w:val="el-GR"/>
              </w:rPr>
            </w:pPr>
            <w:r w:rsidRPr="0043202F">
              <w:rPr>
                <w:color w:val="021142"/>
                <w:sz w:val="20"/>
                <w:lang w:val="en-GB"/>
              </w:rPr>
              <w:t>4</w:t>
            </w:r>
            <w:r>
              <w:rPr>
                <w:color w:val="021142"/>
                <w:sz w:val="20"/>
                <w:lang w:val="el-GR"/>
              </w:rPr>
              <w:t>,</w:t>
            </w:r>
            <w:r w:rsidRPr="0043202F">
              <w:rPr>
                <w:color w:val="021142"/>
                <w:sz w:val="20"/>
                <w:lang w:val="en-GB"/>
              </w:rPr>
              <w:t>4</w:t>
            </w:r>
            <w:r w:rsidRPr="008540EF">
              <w:rPr>
                <w:color w:val="021142"/>
                <w:sz w:val="20"/>
                <w:lang w:val="el-GR"/>
              </w:rPr>
              <w:t>%</w:t>
            </w:r>
          </w:p>
        </w:tc>
      </w:tr>
      <w:tr w:rsidR="004379E2" w14:paraId="6F675370" w14:textId="77777777" w:rsidTr="007E16AF">
        <w:trPr>
          <w:trHeight w:hRule="exact" w:val="454"/>
          <w:jc w:val="center"/>
        </w:trPr>
        <w:tc>
          <w:tcPr>
            <w:tcW w:w="4821" w:type="dxa"/>
            <w:vAlign w:val="center"/>
          </w:tcPr>
          <w:p w14:paraId="3B3C665C" w14:textId="2EB19968" w:rsidR="004379E2" w:rsidRPr="003F55F4" w:rsidRDefault="004379E2" w:rsidP="004379E2">
            <w:pPr>
              <w:pStyle w:val="TableParagraph"/>
              <w:spacing w:before="50"/>
              <w:ind w:left="0" w:right="0"/>
              <w:jc w:val="left"/>
              <w:rPr>
                <w:sz w:val="20"/>
              </w:rPr>
            </w:pPr>
            <w:r>
              <w:rPr>
                <w:color w:val="021142"/>
                <w:sz w:val="20"/>
              </w:rPr>
              <w:t>Προβλέψεις</w:t>
            </w:r>
            <w:r>
              <w:rPr>
                <w:sz w:val="20"/>
                <w:lang w:val="el-GR"/>
              </w:rPr>
              <w:t xml:space="preserve"> </w:t>
            </w:r>
            <w:r>
              <w:rPr>
                <w:color w:val="021142"/>
                <w:spacing w:val="-1"/>
                <w:sz w:val="20"/>
              </w:rPr>
              <w:t>Πιστωτικ</w:t>
            </w:r>
            <w:r>
              <w:rPr>
                <w:color w:val="021142"/>
                <w:spacing w:val="-1"/>
                <w:sz w:val="20"/>
                <w:lang w:val="el-GR"/>
              </w:rPr>
              <w:t>ών</w:t>
            </w:r>
            <w:r>
              <w:rPr>
                <w:color w:val="021142"/>
                <w:spacing w:val="-10"/>
                <w:sz w:val="20"/>
              </w:rPr>
              <w:t xml:space="preserve"> </w:t>
            </w:r>
            <w:r>
              <w:rPr>
                <w:color w:val="021142"/>
                <w:spacing w:val="-1"/>
                <w:sz w:val="20"/>
              </w:rPr>
              <w:t>Κινδύν</w:t>
            </w:r>
            <w:r>
              <w:rPr>
                <w:color w:val="021142"/>
                <w:spacing w:val="-1"/>
                <w:sz w:val="20"/>
                <w:lang w:val="el-GR"/>
              </w:rPr>
              <w:t>ων</w:t>
            </w:r>
          </w:p>
        </w:tc>
        <w:tc>
          <w:tcPr>
            <w:tcW w:w="1842" w:type="dxa"/>
            <w:vAlign w:val="center"/>
          </w:tcPr>
          <w:p w14:paraId="172F98E9" w14:textId="5658E718" w:rsidR="004379E2" w:rsidRPr="004379E2" w:rsidRDefault="004379E2" w:rsidP="007E16AF">
            <w:pPr>
              <w:pStyle w:val="TableParagraph"/>
              <w:spacing w:before="124"/>
              <w:ind w:left="0" w:right="0"/>
              <w:rPr>
                <w:color w:val="021142"/>
                <w:sz w:val="20"/>
                <w:lang w:val="el-GR"/>
              </w:rPr>
            </w:pPr>
            <w:r w:rsidRPr="00950E8F">
              <w:rPr>
                <w:color w:val="021142"/>
                <w:sz w:val="20"/>
                <w:lang w:val="el-GR"/>
              </w:rPr>
              <w:t>155</w:t>
            </w:r>
          </w:p>
        </w:tc>
        <w:tc>
          <w:tcPr>
            <w:tcW w:w="1701" w:type="dxa"/>
            <w:vAlign w:val="center"/>
          </w:tcPr>
          <w:p w14:paraId="1809F30C" w14:textId="2BA6777C" w:rsidR="004379E2" w:rsidRPr="007604E4" w:rsidRDefault="004379E2" w:rsidP="007E16AF">
            <w:pPr>
              <w:pStyle w:val="TableParagraph"/>
              <w:spacing w:before="124"/>
              <w:ind w:left="0" w:right="0"/>
              <w:rPr>
                <w:color w:val="021142"/>
                <w:sz w:val="20"/>
                <w:lang w:val="el-GR"/>
              </w:rPr>
            </w:pPr>
            <w:r w:rsidRPr="00C20F73">
              <w:rPr>
                <w:color w:val="021142"/>
                <w:sz w:val="20"/>
              </w:rPr>
              <w:t>144</w:t>
            </w:r>
          </w:p>
        </w:tc>
        <w:tc>
          <w:tcPr>
            <w:tcW w:w="1984" w:type="dxa"/>
            <w:vAlign w:val="center"/>
          </w:tcPr>
          <w:p w14:paraId="50BDC303" w14:textId="2C429BE0" w:rsidR="004379E2" w:rsidRPr="00950E8F" w:rsidRDefault="004379E2" w:rsidP="007E16AF">
            <w:pPr>
              <w:pStyle w:val="TableParagraph"/>
              <w:spacing w:before="124"/>
              <w:ind w:left="0" w:right="0"/>
              <w:rPr>
                <w:color w:val="021142"/>
                <w:sz w:val="20"/>
                <w:highlight w:val="yellow"/>
                <w:lang w:val="el-GR"/>
              </w:rPr>
            </w:pPr>
            <w:r w:rsidRPr="0043202F">
              <w:rPr>
                <w:color w:val="021142"/>
                <w:sz w:val="20"/>
                <w:lang w:val="en-GB"/>
              </w:rPr>
              <w:t>8</w:t>
            </w:r>
            <w:r>
              <w:rPr>
                <w:color w:val="021142"/>
                <w:sz w:val="20"/>
                <w:lang w:val="el-GR"/>
              </w:rPr>
              <w:t>,</w:t>
            </w:r>
            <w:r w:rsidRPr="0043202F">
              <w:rPr>
                <w:color w:val="021142"/>
                <w:sz w:val="20"/>
                <w:lang w:val="en-GB"/>
              </w:rPr>
              <w:t>1%</w:t>
            </w:r>
          </w:p>
        </w:tc>
      </w:tr>
      <w:tr w:rsidR="004379E2" w14:paraId="580C3F4C" w14:textId="77777777" w:rsidTr="007E16AF">
        <w:trPr>
          <w:trHeight w:hRule="exact" w:val="454"/>
          <w:jc w:val="center"/>
        </w:trPr>
        <w:tc>
          <w:tcPr>
            <w:tcW w:w="4821" w:type="dxa"/>
            <w:vAlign w:val="center"/>
          </w:tcPr>
          <w:p w14:paraId="69F8D596" w14:textId="77777777" w:rsidR="004379E2" w:rsidRPr="006277C6" w:rsidRDefault="004379E2" w:rsidP="004379E2">
            <w:pPr>
              <w:pStyle w:val="TableParagraph"/>
              <w:spacing w:before="50"/>
              <w:ind w:left="0" w:right="0"/>
              <w:jc w:val="left"/>
              <w:rPr>
                <w:color w:val="021142"/>
                <w:sz w:val="20"/>
                <w:lang w:val="el-GR"/>
              </w:rPr>
            </w:pPr>
            <w:r>
              <w:rPr>
                <w:color w:val="021142"/>
                <w:sz w:val="20"/>
                <w:lang w:val="el-GR"/>
              </w:rPr>
              <w:t xml:space="preserve">Οργανικά Λειτουργικά Κέρδη </w:t>
            </w:r>
          </w:p>
        </w:tc>
        <w:tc>
          <w:tcPr>
            <w:tcW w:w="1842" w:type="dxa"/>
            <w:vAlign w:val="center"/>
          </w:tcPr>
          <w:p w14:paraId="0A26DCE6" w14:textId="6F862D8C" w:rsidR="004379E2" w:rsidRPr="004379E2" w:rsidRDefault="004379E2" w:rsidP="007E16AF">
            <w:pPr>
              <w:pStyle w:val="TableParagraph"/>
              <w:spacing w:before="124"/>
              <w:ind w:left="0" w:right="0"/>
              <w:rPr>
                <w:color w:val="021142"/>
                <w:sz w:val="20"/>
              </w:rPr>
            </w:pPr>
            <w:r w:rsidRPr="00950E8F">
              <w:rPr>
                <w:color w:val="021142"/>
                <w:sz w:val="20"/>
                <w:lang w:val="el-GR"/>
              </w:rPr>
              <w:t>866</w:t>
            </w:r>
          </w:p>
        </w:tc>
        <w:tc>
          <w:tcPr>
            <w:tcW w:w="1701" w:type="dxa"/>
            <w:vAlign w:val="center"/>
          </w:tcPr>
          <w:p w14:paraId="0FF50B45" w14:textId="098E4F1F" w:rsidR="004379E2" w:rsidRPr="007604E4" w:rsidRDefault="004379E2" w:rsidP="007E16AF">
            <w:pPr>
              <w:pStyle w:val="TableParagraph"/>
              <w:spacing w:before="124"/>
              <w:ind w:left="0" w:right="0"/>
              <w:rPr>
                <w:color w:val="021142"/>
                <w:sz w:val="20"/>
                <w:lang w:val="el-GR"/>
              </w:rPr>
            </w:pPr>
            <w:r w:rsidRPr="00C20F73">
              <w:rPr>
                <w:color w:val="021142"/>
                <w:sz w:val="20"/>
              </w:rPr>
              <w:t>814</w:t>
            </w:r>
          </w:p>
        </w:tc>
        <w:tc>
          <w:tcPr>
            <w:tcW w:w="1984" w:type="dxa"/>
            <w:vAlign w:val="center"/>
          </w:tcPr>
          <w:p w14:paraId="46BE13E2" w14:textId="337E0419" w:rsidR="004379E2" w:rsidRPr="00950E8F" w:rsidRDefault="004379E2" w:rsidP="007E16AF">
            <w:pPr>
              <w:pStyle w:val="TableParagraph"/>
              <w:spacing w:before="124"/>
              <w:ind w:left="0" w:right="0"/>
              <w:rPr>
                <w:color w:val="021142"/>
                <w:sz w:val="20"/>
                <w:highlight w:val="yellow"/>
                <w:lang w:val="el-GR"/>
              </w:rPr>
            </w:pPr>
            <w:r w:rsidRPr="0043202F">
              <w:rPr>
                <w:color w:val="021142"/>
                <w:sz w:val="20"/>
                <w:lang w:val="en-GB"/>
              </w:rPr>
              <w:t>6</w:t>
            </w:r>
            <w:r>
              <w:rPr>
                <w:color w:val="021142"/>
                <w:sz w:val="20"/>
                <w:lang w:val="el-GR"/>
              </w:rPr>
              <w:t>,</w:t>
            </w:r>
            <w:r w:rsidRPr="0043202F">
              <w:rPr>
                <w:color w:val="021142"/>
                <w:sz w:val="20"/>
                <w:lang w:val="en-GB"/>
              </w:rPr>
              <w:t>3</w:t>
            </w:r>
            <w:r w:rsidRPr="008540EF">
              <w:rPr>
                <w:color w:val="021142"/>
                <w:sz w:val="20"/>
                <w:lang w:val="el-GR"/>
              </w:rPr>
              <w:t>%</w:t>
            </w:r>
          </w:p>
        </w:tc>
      </w:tr>
      <w:tr w:rsidR="004379E2" w14:paraId="6303A101" w14:textId="77777777" w:rsidTr="007E16AF">
        <w:trPr>
          <w:trHeight w:hRule="exact" w:val="454"/>
          <w:jc w:val="center"/>
        </w:trPr>
        <w:tc>
          <w:tcPr>
            <w:tcW w:w="4821" w:type="dxa"/>
            <w:vAlign w:val="center"/>
          </w:tcPr>
          <w:p w14:paraId="68E51F3F" w14:textId="2257E5A2" w:rsidR="004379E2" w:rsidRDefault="004379E2" w:rsidP="004379E2">
            <w:pPr>
              <w:pStyle w:val="TableParagraph"/>
              <w:spacing w:before="37" w:line="240" w:lineRule="atLeast"/>
              <w:ind w:left="0" w:right="1082"/>
              <w:jc w:val="left"/>
              <w:rPr>
                <w:sz w:val="20"/>
              </w:rPr>
            </w:pPr>
            <w:r>
              <w:rPr>
                <w:color w:val="021142"/>
                <w:spacing w:val="-2"/>
                <w:sz w:val="20"/>
              </w:rPr>
              <w:t>Προσαρμοσμένα</w:t>
            </w:r>
            <w:r>
              <w:rPr>
                <w:color w:val="021142"/>
                <w:spacing w:val="-47"/>
                <w:sz w:val="20"/>
              </w:rPr>
              <w:t xml:space="preserve"> </w:t>
            </w:r>
            <w:r>
              <w:rPr>
                <w:color w:val="021142"/>
                <w:spacing w:val="-47"/>
                <w:sz w:val="20"/>
                <w:lang w:val="el-GR"/>
              </w:rPr>
              <w:t xml:space="preserve">          </w:t>
            </w:r>
            <w:r>
              <w:rPr>
                <w:color w:val="021142"/>
                <w:sz w:val="20"/>
              </w:rPr>
              <w:t>Καθαρά</w:t>
            </w:r>
            <w:r>
              <w:rPr>
                <w:color w:val="021142"/>
                <w:spacing w:val="-4"/>
                <w:sz w:val="20"/>
              </w:rPr>
              <w:t xml:space="preserve"> </w:t>
            </w:r>
            <w:r>
              <w:rPr>
                <w:color w:val="021142"/>
                <w:sz w:val="20"/>
              </w:rPr>
              <w:t>Κέρδη</w:t>
            </w:r>
          </w:p>
        </w:tc>
        <w:tc>
          <w:tcPr>
            <w:tcW w:w="1842" w:type="dxa"/>
            <w:vAlign w:val="center"/>
          </w:tcPr>
          <w:p w14:paraId="38ECAF85" w14:textId="556B1C6B" w:rsidR="004379E2" w:rsidRPr="004379E2" w:rsidRDefault="004379E2" w:rsidP="007E16AF">
            <w:pPr>
              <w:pStyle w:val="TableParagraph"/>
              <w:spacing w:before="124"/>
              <w:ind w:left="0" w:right="0"/>
              <w:rPr>
                <w:color w:val="021142"/>
                <w:sz w:val="20"/>
              </w:rPr>
            </w:pPr>
            <w:r w:rsidRPr="00950E8F">
              <w:rPr>
                <w:color w:val="021142"/>
                <w:sz w:val="20"/>
                <w:lang w:val="el-GR"/>
              </w:rPr>
              <w:t>711</w:t>
            </w:r>
          </w:p>
        </w:tc>
        <w:tc>
          <w:tcPr>
            <w:tcW w:w="1701" w:type="dxa"/>
            <w:vAlign w:val="center"/>
          </w:tcPr>
          <w:p w14:paraId="6B164FEA" w14:textId="092E299D" w:rsidR="004379E2" w:rsidRPr="007604E4" w:rsidRDefault="004379E2" w:rsidP="007E16AF">
            <w:pPr>
              <w:pStyle w:val="TableParagraph"/>
              <w:spacing w:before="124"/>
              <w:ind w:left="0" w:right="0"/>
              <w:rPr>
                <w:color w:val="021142"/>
                <w:sz w:val="20"/>
                <w:lang w:val="el-GR"/>
              </w:rPr>
            </w:pPr>
            <w:r w:rsidRPr="00C20F73">
              <w:rPr>
                <w:color w:val="021142"/>
                <w:sz w:val="20"/>
              </w:rPr>
              <w:t>732</w:t>
            </w:r>
          </w:p>
        </w:tc>
        <w:tc>
          <w:tcPr>
            <w:tcW w:w="1984" w:type="dxa"/>
            <w:vAlign w:val="center"/>
          </w:tcPr>
          <w:p w14:paraId="5204B29A" w14:textId="16747198" w:rsidR="004379E2" w:rsidRPr="00950E8F" w:rsidRDefault="004379E2" w:rsidP="007E16AF">
            <w:pPr>
              <w:pStyle w:val="TableParagraph"/>
              <w:spacing w:before="124"/>
              <w:ind w:left="0" w:right="0"/>
              <w:rPr>
                <w:color w:val="021142"/>
                <w:sz w:val="20"/>
                <w:highlight w:val="yellow"/>
                <w:lang w:val="el-GR"/>
              </w:rPr>
            </w:pPr>
            <w:r w:rsidRPr="008540EF">
              <w:rPr>
                <w:color w:val="021142"/>
                <w:sz w:val="20"/>
                <w:lang w:val="el-GR"/>
              </w:rPr>
              <w:t>-</w:t>
            </w:r>
            <w:r w:rsidRPr="0043202F">
              <w:rPr>
                <w:color w:val="021142"/>
                <w:sz w:val="20"/>
                <w:lang w:val="en-GB"/>
              </w:rPr>
              <w:t>2</w:t>
            </w:r>
            <w:r>
              <w:rPr>
                <w:color w:val="021142"/>
                <w:sz w:val="20"/>
                <w:lang w:val="el-GR"/>
              </w:rPr>
              <w:t>,</w:t>
            </w:r>
            <w:r w:rsidR="008028B2">
              <w:rPr>
                <w:color w:val="021142"/>
                <w:sz w:val="20"/>
                <w:lang w:val="en-GB"/>
              </w:rPr>
              <w:t>9</w:t>
            </w:r>
            <w:r w:rsidRPr="008540EF">
              <w:rPr>
                <w:color w:val="021142"/>
                <w:sz w:val="20"/>
                <w:lang w:val="el-GR"/>
              </w:rPr>
              <w:t>%</w:t>
            </w:r>
          </w:p>
        </w:tc>
      </w:tr>
      <w:tr w:rsidR="004379E2" w14:paraId="7C65E6A0" w14:textId="77777777" w:rsidTr="007E16AF">
        <w:trPr>
          <w:trHeight w:hRule="exact" w:val="454"/>
          <w:jc w:val="center"/>
        </w:trPr>
        <w:tc>
          <w:tcPr>
            <w:tcW w:w="4821" w:type="dxa"/>
            <w:vAlign w:val="center"/>
          </w:tcPr>
          <w:p w14:paraId="1D448526" w14:textId="77777777" w:rsidR="004379E2" w:rsidRPr="000655B9" w:rsidRDefault="004379E2" w:rsidP="004379E2">
            <w:pPr>
              <w:pStyle w:val="TableParagraph"/>
              <w:ind w:left="0" w:right="0"/>
              <w:jc w:val="left"/>
              <w:rPr>
                <w:sz w:val="20"/>
                <w:lang w:val="el-GR"/>
              </w:rPr>
            </w:pPr>
            <w:r w:rsidRPr="000655B9">
              <w:rPr>
                <w:color w:val="021142"/>
                <w:sz w:val="20"/>
                <w:lang w:val="el-GR"/>
              </w:rPr>
              <w:t>Καθαρά</w:t>
            </w:r>
            <w:r w:rsidRPr="000655B9">
              <w:rPr>
                <w:color w:val="021142"/>
                <w:spacing w:val="-9"/>
                <w:sz w:val="20"/>
                <w:lang w:val="el-GR"/>
              </w:rPr>
              <w:t xml:space="preserve"> </w:t>
            </w:r>
            <w:r w:rsidRPr="000655B9">
              <w:rPr>
                <w:color w:val="021142"/>
                <w:sz w:val="20"/>
                <w:lang w:val="el-GR"/>
              </w:rPr>
              <w:t>Κέρδη</w:t>
            </w:r>
            <w:r w:rsidRPr="000655B9">
              <w:rPr>
                <w:color w:val="021142"/>
                <w:spacing w:val="-8"/>
                <w:sz w:val="20"/>
                <w:lang w:val="el-GR"/>
              </w:rPr>
              <w:t xml:space="preserve"> </w:t>
            </w:r>
            <w:r w:rsidRPr="000655B9">
              <w:rPr>
                <w:color w:val="021142"/>
                <w:sz w:val="20"/>
                <w:lang w:val="el-GR"/>
              </w:rPr>
              <w:t xml:space="preserve">μετά </w:t>
            </w:r>
            <w:r>
              <w:rPr>
                <w:color w:val="021142"/>
                <w:sz w:val="20"/>
                <w:lang w:val="el-GR"/>
              </w:rPr>
              <w:t>από</w:t>
            </w:r>
            <w:r w:rsidRPr="000655B9">
              <w:rPr>
                <w:color w:val="021142"/>
                <w:spacing w:val="-8"/>
                <w:sz w:val="20"/>
                <w:lang w:val="el-GR"/>
              </w:rPr>
              <w:t xml:space="preserve"> </w:t>
            </w:r>
            <w:r w:rsidRPr="000655B9">
              <w:rPr>
                <w:color w:val="021142"/>
                <w:sz w:val="20"/>
                <w:lang w:val="el-GR"/>
              </w:rPr>
              <w:t>φόρ</w:t>
            </w:r>
            <w:r>
              <w:rPr>
                <w:color w:val="021142"/>
                <w:sz w:val="20"/>
                <w:lang w:val="el-GR"/>
              </w:rPr>
              <w:t>ους</w:t>
            </w:r>
          </w:p>
        </w:tc>
        <w:tc>
          <w:tcPr>
            <w:tcW w:w="1842" w:type="dxa"/>
            <w:vAlign w:val="center"/>
          </w:tcPr>
          <w:p w14:paraId="68B4B7DA" w14:textId="6299112A" w:rsidR="004379E2" w:rsidRPr="004379E2" w:rsidRDefault="004379E2" w:rsidP="007E16AF">
            <w:pPr>
              <w:pStyle w:val="TableParagraph"/>
              <w:spacing w:before="124"/>
              <w:ind w:left="0" w:right="0"/>
              <w:rPr>
                <w:color w:val="021142"/>
                <w:sz w:val="20"/>
                <w:lang w:val="el-GR"/>
              </w:rPr>
            </w:pPr>
            <w:r w:rsidRPr="00950E8F">
              <w:rPr>
                <w:color w:val="021142"/>
                <w:sz w:val="20"/>
                <w:lang w:val="el-GR"/>
              </w:rPr>
              <w:t>69</w:t>
            </w:r>
            <w:r w:rsidR="00C95B6D">
              <w:rPr>
                <w:color w:val="021142"/>
                <w:sz w:val="20"/>
                <w:lang w:val="en-GB"/>
              </w:rPr>
              <w:t>1</w:t>
            </w:r>
          </w:p>
        </w:tc>
        <w:tc>
          <w:tcPr>
            <w:tcW w:w="1701" w:type="dxa"/>
            <w:vAlign w:val="center"/>
          </w:tcPr>
          <w:p w14:paraId="77FE171C" w14:textId="47982DF3" w:rsidR="004379E2" w:rsidRPr="007604E4" w:rsidRDefault="004379E2" w:rsidP="007E16AF">
            <w:pPr>
              <w:pStyle w:val="TableParagraph"/>
              <w:spacing w:before="124"/>
              <w:ind w:left="0" w:right="0"/>
              <w:rPr>
                <w:color w:val="021142"/>
                <w:sz w:val="20"/>
                <w:lang w:val="el-GR"/>
              </w:rPr>
            </w:pPr>
            <w:r w:rsidRPr="00C20F73">
              <w:rPr>
                <w:color w:val="021142"/>
                <w:sz w:val="20"/>
              </w:rPr>
              <w:t>721</w:t>
            </w:r>
          </w:p>
        </w:tc>
        <w:tc>
          <w:tcPr>
            <w:tcW w:w="1984" w:type="dxa"/>
            <w:vAlign w:val="center"/>
          </w:tcPr>
          <w:p w14:paraId="69C9831B" w14:textId="342790C1" w:rsidR="004379E2" w:rsidRPr="00950E8F" w:rsidRDefault="004379E2" w:rsidP="007E16AF">
            <w:pPr>
              <w:pStyle w:val="TableParagraph"/>
              <w:spacing w:before="124"/>
              <w:ind w:left="0" w:right="0"/>
              <w:rPr>
                <w:color w:val="021142"/>
                <w:sz w:val="20"/>
                <w:highlight w:val="yellow"/>
                <w:lang w:val="el-GR"/>
              </w:rPr>
            </w:pPr>
            <w:r w:rsidRPr="0043202F">
              <w:rPr>
                <w:color w:val="021142"/>
                <w:sz w:val="20"/>
                <w:lang w:val="en-GB"/>
              </w:rPr>
              <w:t>-4</w:t>
            </w:r>
            <w:r>
              <w:rPr>
                <w:color w:val="021142"/>
                <w:sz w:val="20"/>
                <w:lang w:val="el-GR"/>
              </w:rPr>
              <w:t>,</w:t>
            </w:r>
            <w:r w:rsidRPr="0043202F">
              <w:rPr>
                <w:color w:val="021142"/>
                <w:sz w:val="20"/>
                <w:lang w:val="en-GB"/>
              </w:rPr>
              <w:t>3%</w:t>
            </w:r>
          </w:p>
        </w:tc>
      </w:tr>
      <w:bookmarkEnd w:id="7"/>
    </w:tbl>
    <w:p w14:paraId="6C4D78AA" w14:textId="77777777" w:rsidR="00852D18" w:rsidRPr="00D33982" w:rsidRDefault="00852D18">
      <w:pPr>
        <w:pStyle w:val="BodyText"/>
        <w:spacing w:before="9"/>
        <w:rPr>
          <w:b/>
          <w:sz w:val="15"/>
          <w:lang w:val="el-GR"/>
        </w:rPr>
      </w:pPr>
    </w:p>
    <w:tbl>
      <w:tblPr>
        <w:tblW w:w="0" w:type="auto"/>
        <w:tblInd w:w="270" w:type="dxa"/>
        <w:tblBorders>
          <w:top w:val="single" w:sz="2" w:space="0" w:color="021142"/>
          <w:left w:val="single" w:sz="2" w:space="0" w:color="021142"/>
          <w:bottom w:val="single" w:sz="2" w:space="0" w:color="021142"/>
          <w:right w:val="single" w:sz="2" w:space="0" w:color="021142"/>
          <w:insideH w:val="single" w:sz="2" w:space="0" w:color="021142"/>
          <w:insideV w:val="single" w:sz="2" w:space="0" w:color="021142"/>
        </w:tblBorders>
        <w:tblLayout w:type="fixed"/>
        <w:tblCellMar>
          <w:left w:w="0" w:type="dxa"/>
          <w:right w:w="0" w:type="dxa"/>
        </w:tblCellMar>
        <w:tblLook w:val="01E0" w:firstRow="1" w:lastRow="1" w:firstColumn="1" w:lastColumn="1" w:noHBand="0" w:noVBand="0"/>
      </w:tblPr>
      <w:tblGrid>
        <w:gridCol w:w="4833"/>
        <w:gridCol w:w="2835"/>
        <w:gridCol w:w="2788"/>
      </w:tblGrid>
      <w:tr w:rsidR="00364250" w14:paraId="5D8C7D65" w14:textId="77777777" w:rsidTr="00C47DA5">
        <w:trPr>
          <w:trHeight w:val="385"/>
        </w:trPr>
        <w:tc>
          <w:tcPr>
            <w:tcW w:w="4833" w:type="dxa"/>
            <w:tcBorders>
              <w:top w:val="nil"/>
              <w:left w:val="nil"/>
              <w:bottom w:val="nil"/>
              <w:right w:val="nil"/>
            </w:tcBorders>
            <w:shd w:val="clear" w:color="auto" w:fill="021142"/>
          </w:tcPr>
          <w:p w14:paraId="731B0B5D" w14:textId="28E4B8D6" w:rsidR="00364250" w:rsidRPr="00950E8F" w:rsidRDefault="00364250" w:rsidP="00364250">
            <w:pPr>
              <w:pStyle w:val="TableParagraph"/>
              <w:spacing w:before="125"/>
              <w:ind w:left="80" w:right="0"/>
              <w:jc w:val="left"/>
              <w:rPr>
                <w:sz w:val="20"/>
                <w:lang w:val="el-GR"/>
              </w:rPr>
            </w:pPr>
            <w:r>
              <w:rPr>
                <w:color w:val="FFFFFF"/>
                <w:spacing w:val="-1"/>
                <w:sz w:val="20"/>
              </w:rPr>
              <w:t>Στοιχεία</w:t>
            </w:r>
            <w:r>
              <w:rPr>
                <w:color w:val="FFFFFF"/>
                <w:spacing w:val="-9"/>
                <w:sz w:val="20"/>
              </w:rPr>
              <w:t xml:space="preserve"> </w:t>
            </w:r>
            <w:r>
              <w:rPr>
                <w:color w:val="FFFFFF"/>
                <w:spacing w:val="-1"/>
                <w:sz w:val="20"/>
              </w:rPr>
              <w:t>Ισολογισμού</w:t>
            </w:r>
            <w:r w:rsidR="00480AA4">
              <w:rPr>
                <w:color w:val="FFFFFF"/>
                <w:spacing w:val="-1"/>
                <w:sz w:val="20"/>
                <w:lang w:val="el-GR"/>
              </w:rPr>
              <w:t xml:space="preserve"> </w:t>
            </w:r>
            <w:r w:rsidR="00480AA4">
              <w:rPr>
                <w:color w:val="FFFFFF"/>
                <w:sz w:val="20"/>
                <w:lang w:val="el-GR"/>
              </w:rPr>
              <w:t>(€εκ.)</w:t>
            </w:r>
          </w:p>
        </w:tc>
        <w:tc>
          <w:tcPr>
            <w:tcW w:w="2835" w:type="dxa"/>
            <w:tcBorders>
              <w:top w:val="nil"/>
              <w:left w:val="nil"/>
              <w:bottom w:val="nil"/>
              <w:right w:val="nil"/>
            </w:tcBorders>
            <w:shd w:val="clear" w:color="auto" w:fill="021142"/>
          </w:tcPr>
          <w:p w14:paraId="6F8FE77E" w14:textId="64F80091" w:rsidR="00364250" w:rsidRPr="00D33982" w:rsidRDefault="00D56F06" w:rsidP="00364250">
            <w:pPr>
              <w:pStyle w:val="TableParagraph"/>
              <w:spacing w:before="125"/>
              <w:ind w:left="541" w:right="538"/>
              <w:rPr>
                <w:sz w:val="20"/>
                <w:szCs w:val="20"/>
              </w:rPr>
            </w:pPr>
            <w:r>
              <w:rPr>
                <w:color w:val="FFFFFF"/>
                <w:sz w:val="20"/>
                <w:lang w:val="el-GR"/>
              </w:rPr>
              <w:t>Α΄</w:t>
            </w:r>
            <w:r w:rsidR="00D953B6">
              <w:rPr>
                <w:color w:val="FFFFFF"/>
                <w:sz w:val="20"/>
                <w:lang w:val="el-GR"/>
              </w:rPr>
              <w:t xml:space="preserve"> Εξαμ.</w:t>
            </w:r>
            <w:r>
              <w:rPr>
                <w:color w:val="FFFFFF"/>
                <w:sz w:val="20"/>
                <w:lang w:val="el-GR"/>
              </w:rPr>
              <w:t xml:space="preserve"> 2025</w:t>
            </w:r>
          </w:p>
        </w:tc>
        <w:tc>
          <w:tcPr>
            <w:tcW w:w="2788" w:type="dxa"/>
            <w:tcBorders>
              <w:top w:val="nil"/>
              <w:left w:val="nil"/>
              <w:bottom w:val="nil"/>
              <w:right w:val="nil"/>
            </w:tcBorders>
            <w:shd w:val="clear" w:color="auto" w:fill="021142"/>
          </w:tcPr>
          <w:p w14:paraId="7EB0BE96" w14:textId="193AB749" w:rsidR="00364250" w:rsidRPr="00D33982" w:rsidRDefault="00D56F06" w:rsidP="00364250">
            <w:pPr>
              <w:pStyle w:val="TableParagraph"/>
              <w:spacing w:before="125"/>
              <w:ind w:left="541" w:right="538"/>
              <w:rPr>
                <w:sz w:val="20"/>
                <w:szCs w:val="20"/>
              </w:rPr>
            </w:pPr>
            <w:r>
              <w:rPr>
                <w:sz w:val="20"/>
              </w:rPr>
              <w:t>Α΄</w:t>
            </w:r>
            <w:r w:rsidR="00D953B6">
              <w:rPr>
                <w:sz w:val="20"/>
                <w:lang w:val="el-GR"/>
              </w:rPr>
              <w:t xml:space="preserve"> Εξα</w:t>
            </w:r>
            <w:r>
              <w:rPr>
                <w:sz w:val="20"/>
              </w:rPr>
              <w:t>μ</w:t>
            </w:r>
            <w:r w:rsidR="002A2E49">
              <w:rPr>
                <w:sz w:val="20"/>
                <w:lang w:val="el-GR"/>
              </w:rPr>
              <w:t>.</w:t>
            </w:r>
            <w:r>
              <w:rPr>
                <w:sz w:val="20"/>
              </w:rPr>
              <w:t xml:space="preserve"> 2024</w:t>
            </w:r>
          </w:p>
        </w:tc>
      </w:tr>
      <w:tr w:rsidR="004379E2" w14:paraId="06BE09BB" w14:textId="77777777" w:rsidTr="001965CB">
        <w:trPr>
          <w:trHeight w:val="451"/>
        </w:trPr>
        <w:tc>
          <w:tcPr>
            <w:tcW w:w="4833" w:type="dxa"/>
            <w:tcBorders>
              <w:top w:val="nil"/>
            </w:tcBorders>
            <w:vAlign w:val="center"/>
          </w:tcPr>
          <w:p w14:paraId="71B38419" w14:textId="77777777" w:rsidR="004379E2" w:rsidRDefault="004379E2" w:rsidP="004379E2">
            <w:pPr>
              <w:pStyle w:val="TableParagraph"/>
              <w:spacing w:before="124"/>
              <w:ind w:left="78" w:right="0"/>
              <w:jc w:val="left"/>
              <w:rPr>
                <w:sz w:val="20"/>
              </w:rPr>
            </w:pPr>
            <w:r>
              <w:rPr>
                <w:color w:val="021142"/>
                <w:spacing w:val="-1"/>
                <w:sz w:val="20"/>
              </w:rPr>
              <w:t>Καταναλωτικά</w:t>
            </w:r>
            <w:r>
              <w:rPr>
                <w:color w:val="021142"/>
                <w:spacing w:val="-9"/>
                <w:sz w:val="20"/>
              </w:rPr>
              <w:t xml:space="preserve"> </w:t>
            </w:r>
            <w:r>
              <w:rPr>
                <w:color w:val="021142"/>
                <w:spacing w:val="-1"/>
                <w:sz w:val="20"/>
              </w:rPr>
              <w:t>Δάνεια</w:t>
            </w:r>
          </w:p>
        </w:tc>
        <w:tc>
          <w:tcPr>
            <w:tcW w:w="2835" w:type="dxa"/>
            <w:tcBorders>
              <w:top w:val="nil"/>
            </w:tcBorders>
            <w:vAlign w:val="center"/>
          </w:tcPr>
          <w:p w14:paraId="0EDFAF51" w14:textId="5B0011B0" w:rsidR="004379E2" w:rsidRPr="001965CB" w:rsidRDefault="004379E2" w:rsidP="004379E2">
            <w:pPr>
              <w:pStyle w:val="TableParagraph"/>
              <w:spacing w:before="124"/>
              <w:rPr>
                <w:color w:val="021142"/>
                <w:sz w:val="20"/>
                <w:szCs w:val="20"/>
              </w:rPr>
            </w:pPr>
            <w:r w:rsidRPr="00D61163">
              <w:rPr>
                <w:color w:val="021142"/>
                <w:sz w:val="20"/>
                <w:szCs w:val="20"/>
              </w:rPr>
              <w:t>4</w:t>
            </w:r>
            <w:r>
              <w:rPr>
                <w:color w:val="021142"/>
                <w:sz w:val="20"/>
                <w:szCs w:val="20"/>
                <w:lang w:val="el-GR"/>
              </w:rPr>
              <w:t>.</w:t>
            </w:r>
            <w:r w:rsidRPr="0043202F">
              <w:rPr>
                <w:color w:val="021142"/>
                <w:sz w:val="20"/>
                <w:szCs w:val="20"/>
              </w:rPr>
              <w:t>687</w:t>
            </w:r>
          </w:p>
        </w:tc>
        <w:tc>
          <w:tcPr>
            <w:tcW w:w="2788" w:type="dxa"/>
            <w:tcBorders>
              <w:top w:val="nil"/>
            </w:tcBorders>
            <w:vAlign w:val="center"/>
          </w:tcPr>
          <w:p w14:paraId="36557032" w14:textId="521FDF38" w:rsidR="004379E2" w:rsidRPr="001965CB" w:rsidRDefault="004379E2" w:rsidP="004379E2">
            <w:pPr>
              <w:pStyle w:val="TableParagraph"/>
              <w:spacing w:before="124"/>
              <w:rPr>
                <w:color w:val="021142"/>
                <w:sz w:val="20"/>
                <w:szCs w:val="20"/>
              </w:rPr>
            </w:pPr>
            <w:r>
              <w:rPr>
                <w:color w:val="021142"/>
                <w:sz w:val="20"/>
                <w:szCs w:val="20"/>
              </w:rPr>
              <w:t>3</w:t>
            </w:r>
            <w:r>
              <w:rPr>
                <w:color w:val="021142"/>
                <w:sz w:val="20"/>
                <w:szCs w:val="20"/>
                <w:lang w:val="el-GR"/>
              </w:rPr>
              <w:t>.</w:t>
            </w:r>
            <w:r>
              <w:rPr>
                <w:color w:val="021142"/>
                <w:sz w:val="20"/>
                <w:szCs w:val="20"/>
              </w:rPr>
              <w:t>615</w:t>
            </w:r>
          </w:p>
        </w:tc>
      </w:tr>
      <w:tr w:rsidR="004379E2" w14:paraId="47C49800" w14:textId="77777777" w:rsidTr="00950E8F">
        <w:trPr>
          <w:trHeight w:val="448"/>
        </w:trPr>
        <w:tc>
          <w:tcPr>
            <w:tcW w:w="4833" w:type="dxa"/>
            <w:vAlign w:val="center"/>
          </w:tcPr>
          <w:p w14:paraId="4387FD10" w14:textId="77777777" w:rsidR="004379E2" w:rsidRDefault="004379E2" w:rsidP="004379E2">
            <w:pPr>
              <w:pStyle w:val="TableParagraph"/>
              <w:ind w:left="78" w:right="0"/>
              <w:jc w:val="left"/>
              <w:rPr>
                <w:sz w:val="20"/>
              </w:rPr>
            </w:pPr>
            <w:r>
              <w:rPr>
                <w:color w:val="021142"/>
                <w:spacing w:val="-1"/>
                <w:sz w:val="20"/>
              </w:rPr>
              <w:t>Στεγαστικά</w:t>
            </w:r>
            <w:r>
              <w:rPr>
                <w:color w:val="021142"/>
                <w:spacing w:val="-10"/>
                <w:sz w:val="20"/>
              </w:rPr>
              <w:t xml:space="preserve"> </w:t>
            </w:r>
            <w:r>
              <w:rPr>
                <w:color w:val="021142"/>
                <w:sz w:val="20"/>
              </w:rPr>
              <w:t>Δάνεια</w:t>
            </w:r>
          </w:p>
        </w:tc>
        <w:tc>
          <w:tcPr>
            <w:tcW w:w="2835" w:type="dxa"/>
          </w:tcPr>
          <w:p w14:paraId="53041625" w14:textId="51945016" w:rsidR="004379E2" w:rsidRPr="001965CB" w:rsidRDefault="004379E2" w:rsidP="004379E2">
            <w:pPr>
              <w:pStyle w:val="TableParagraph"/>
              <w:spacing w:before="124"/>
              <w:rPr>
                <w:color w:val="021142"/>
                <w:sz w:val="20"/>
                <w:szCs w:val="20"/>
              </w:rPr>
            </w:pPr>
            <w:r w:rsidRPr="00D61163">
              <w:rPr>
                <w:color w:val="021142"/>
                <w:sz w:val="20"/>
                <w:szCs w:val="20"/>
              </w:rPr>
              <w:t>12</w:t>
            </w:r>
            <w:r>
              <w:rPr>
                <w:color w:val="021142"/>
                <w:sz w:val="20"/>
                <w:szCs w:val="20"/>
                <w:lang w:val="el-GR"/>
              </w:rPr>
              <w:t>.</w:t>
            </w:r>
            <w:r w:rsidRPr="0043202F">
              <w:rPr>
                <w:color w:val="021142"/>
                <w:sz w:val="20"/>
                <w:szCs w:val="20"/>
              </w:rPr>
              <w:t>7</w:t>
            </w:r>
            <w:r w:rsidR="008028B2">
              <w:rPr>
                <w:color w:val="021142"/>
                <w:sz w:val="20"/>
                <w:szCs w:val="20"/>
              </w:rPr>
              <w:t>50</w:t>
            </w:r>
          </w:p>
        </w:tc>
        <w:tc>
          <w:tcPr>
            <w:tcW w:w="2788" w:type="dxa"/>
          </w:tcPr>
          <w:p w14:paraId="5ED26048" w14:textId="7C032FC6" w:rsidR="004379E2" w:rsidRPr="001965CB" w:rsidRDefault="004379E2" w:rsidP="004379E2">
            <w:pPr>
              <w:pStyle w:val="TableParagraph"/>
              <w:spacing w:before="124"/>
              <w:rPr>
                <w:color w:val="021142"/>
                <w:sz w:val="20"/>
                <w:szCs w:val="20"/>
              </w:rPr>
            </w:pPr>
            <w:r>
              <w:rPr>
                <w:color w:val="021142"/>
                <w:sz w:val="20"/>
                <w:szCs w:val="20"/>
              </w:rPr>
              <w:t>9</w:t>
            </w:r>
            <w:r>
              <w:rPr>
                <w:color w:val="021142"/>
                <w:sz w:val="20"/>
                <w:szCs w:val="20"/>
                <w:lang w:val="el-GR"/>
              </w:rPr>
              <w:t>.</w:t>
            </w:r>
            <w:r>
              <w:rPr>
                <w:color w:val="021142"/>
                <w:sz w:val="20"/>
                <w:szCs w:val="20"/>
              </w:rPr>
              <w:t>791</w:t>
            </w:r>
          </w:p>
        </w:tc>
      </w:tr>
      <w:tr w:rsidR="004379E2" w14:paraId="1A004A68" w14:textId="77777777" w:rsidTr="00950E8F">
        <w:trPr>
          <w:trHeight w:val="448"/>
        </w:trPr>
        <w:tc>
          <w:tcPr>
            <w:tcW w:w="4833" w:type="dxa"/>
            <w:vAlign w:val="center"/>
          </w:tcPr>
          <w:p w14:paraId="5C081CC7" w14:textId="77777777" w:rsidR="004379E2" w:rsidRDefault="004379E2" w:rsidP="004379E2">
            <w:pPr>
              <w:pStyle w:val="TableParagraph"/>
              <w:ind w:left="78" w:right="0"/>
              <w:jc w:val="left"/>
              <w:rPr>
                <w:sz w:val="20"/>
              </w:rPr>
            </w:pPr>
            <w:r>
              <w:rPr>
                <w:color w:val="021142"/>
                <w:sz w:val="20"/>
              </w:rPr>
              <w:t>Δάνεια</w:t>
            </w:r>
            <w:r>
              <w:rPr>
                <w:color w:val="021142"/>
                <w:spacing w:val="-7"/>
                <w:sz w:val="20"/>
              </w:rPr>
              <w:t xml:space="preserve"> </w:t>
            </w:r>
            <w:r>
              <w:rPr>
                <w:color w:val="021142"/>
                <w:sz w:val="20"/>
              </w:rPr>
              <w:t>προς</w:t>
            </w:r>
            <w:r>
              <w:rPr>
                <w:color w:val="021142"/>
                <w:spacing w:val="-6"/>
                <w:sz w:val="20"/>
              </w:rPr>
              <w:t xml:space="preserve"> </w:t>
            </w:r>
            <w:r>
              <w:rPr>
                <w:color w:val="021142"/>
                <w:sz w:val="20"/>
              </w:rPr>
              <w:t>Μικρές</w:t>
            </w:r>
            <w:r>
              <w:rPr>
                <w:color w:val="021142"/>
                <w:spacing w:val="-6"/>
                <w:sz w:val="20"/>
              </w:rPr>
              <w:t xml:space="preserve"> </w:t>
            </w:r>
            <w:r>
              <w:rPr>
                <w:color w:val="021142"/>
                <w:sz w:val="20"/>
              </w:rPr>
              <w:t>Επιχειρήσεις</w:t>
            </w:r>
          </w:p>
        </w:tc>
        <w:tc>
          <w:tcPr>
            <w:tcW w:w="2835" w:type="dxa"/>
          </w:tcPr>
          <w:p w14:paraId="3E44E3E5" w14:textId="0A000192" w:rsidR="004379E2" w:rsidRPr="001965CB" w:rsidRDefault="004379E2" w:rsidP="004379E2">
            <w:pPr>
              <w:pStyle w:val="TableParagraph"/>
              <w:spacing w:before="124"/>
              <w:rPr>
                <w:color w:val="021142"/>
                <w:sz w:val="20"/>
                <w:szCs w:val="20"/>
              </w:rPr>
            </w:pPr>
            <w:r w:rsidRPr="00D61163">
              <w:rPr>
                <w:color w:val="021142"/>
                <w:sz w:val="20"/>
                <w:szCs w:val="20"/>
              </w:rPr>
              <w:t>3</w:t>
            </w:r>
            <w:r>
              <w:rPr>
                <w:color w:val="021142"/>
                <w:sz w:val="20"/>
                <w:szCs w:val="20"/>
                <w:lang w:val="el-GR"/>
              </w:rPr>
              <w:t>.</w:t>
            </w:r>
            <w:r w:rsidRPr="0043202F">
              <w:rPr>
                <w:color w:val="021142"/>
                <w:sz w:val="20"/>
                <w:szCs w:val="20"/>
              </w:rPr>
              <w:t>6</w:t>
            </w:r>
            <w:r w:rsidR="008028B2">
              <w:rPr>
                <w:color w:val="021142"/>
                <w:sz w:val="20"/>
                <w:szCs w:val="20"/>
              </w:rPr>
              <w:t>05</w:t>
            </w:r>
          </w:p>
        </w:tc>
        <w:tc>
          <w:tcPr>
            <w:tcW w:w="2788" w:type="dxa"/>
          </w:tcPr>
          <w:p w14:paraId="73E7ADB7" w14:textId="7DF9EEB6" w:rsidR="004379E2" w:rsidRPr="001965CB" w:rsidRDefault="004379E2" w:rsidP="004379E2">
            <w:pPr>
              <w:pStyle w:val="TableParagraph"/>
              <w:spacing w:before="124"/>
              <w:rPr>
                <w:color w:val="021142"/>
                <w:sz w:val="20"/>
                <w:szCs w:val="20"/>
              </w:rPr>
            </w:pPr>
            <w:r>
              <w:rPr>
                <w:color w:val="021142"/>
                <w:sz w:val="20"/>
                <w:szCs w:val="20"/>
              </w:rPr>
              <w:t>3</w:t>
            </w:r>
            <w:r>
              <w:rPr>
                <w:color w:val="021142"/>
                <w:sz w:val="20"/>
                <w:szCs w:val="20"/>
                <w:lang w:val="el-GR"/>
              </w:rPr>
              <w:t>.</w:t>
            </w:r>
            <w:r>
              <w:rPr>
                <w:color w:val="021142"/>
                <w:sz w:val="20"/>
                <w:szCs w:val="20"/>
              </w:rPr>
              <w:t>353</w:t>
            </w:r>
          </w:p>
        </w:tc>
      </w:tr>
      <w:tr w:rsidR="004379E2" w:rsidRPr="00364250" w14:paraId="14243C4D" w14:textId="77777777" w:rsidTr="00950E8F">
        <w:trPr>
          <w:trHeight w:val="448"/>
        </w:trPr>
        <w:tc>
          <w:tcPr>
            <w:tcW w:w="4833" w:type="dxa"/>
            <w:vAlign w:val="center"/>
          </w:tcPr>
          <w:p w14:paraId="18333440" w14:textId="77777777" w:rsidR="004379E2" w:rsidRPr="005511E3" w:rsidRDefault="004379E2" w:rsidP="004379E2">
            <w:pPr>
              <w:pStyle w:val="TableParagraph"/>
              <w:ind w:left="78" w:right="0"/>
              <w:jc w:val="left"/>
              <w:rPr>
                <w:sz w:val="20"/>
                <w:lang w:val="el-GR"/>
              </w:rPr>
            </w:pPr>
            <w:r w:rsidRPr="005511E3">
              <w:rPr>
                <w:color w:val="021142"/>
                <w:sz w:val="20"/>
                <w:lang w:val="el-GR"/>
              </w:rPr>
              <w:t>Δάνεια</w:t>
            </w:r>
            <w:r w:rsidRPr="005511E3">
              <w:rPr>
                <w:color w:val="021142"/>
                <w:spacing w:val="-7"/>
                <w:sz w:val="20"/>
                <w:lang w:val="el-GR"/>
              </w:rPr>
              <w:t xml:space="preserve"> </w:t>
            </w:r>
            <w:r w:rsidRPr="005511E3">
              <w:rPr>
                <w:color w:val="021142"/>
                <w:sz w:val="20"/>
                <w:lang w:val="el-GR"/>
              </w:rPr>
              <w:t>προς</w:t>
            </w:r>
            <w:r w:rsidRPr="005511E3">
              <w:rPr>
                <w:color w:val="021142"/>
                <w:spacing w:val="-7"/>
                <w:sz w:val="20"/>
                <w:lang w:val="el-GR"/>
              </w:rPr>
              <w:t xml:space="preserve"> </w:t>
            </w:r>
            <w:r w:rsidRPr="005511E3">
              <w:rPr>
                <w:color w:val="021142"/>
                <w:sz w:val="20"/>
                <w:lang w:val="el-GR"/>
              </w:rPr>
              <w:t>Μεσαίες</w:t>
            </w:r>
            <w:r w:rsidRPr="005511E3">
              <w:rPr>
                <w:color w:val="021142"/>
                <w:spacing w:val="-7"/>
                <w:sz w:val="20"/>
                <w:lang w:val="el-GR"/>
              </w:rPr>
              <w:t xml:space="preserve"> </w:t>
            </w:r>
            <w:r w:rsidRPr="005511E3">
              <w:rPr>
                <w:color w:val="021142"/>
                <w:sz w:val="20"/>
                <w:lang w:val="el-GR"/>
              </w:rPr>
              <w:t>&amp;</w:t>
            </w:r>
            <w:r w:rsidRPr="005511E3">
              <w:rPr>
                <w:color w:val="021142"/>
                <w:spacing w:val="-7"/>
                <w:sz w:val="20"/>
                <w:lang w:val="el-GR"/>
              </w:rPr>
              <w:t xml:space="preserve"> </w:t>
            </w:r>
            <w:r w:rsidRPr="005511E3">
              <w:rPr>
                <w:color w:val="021142"/>
                <w:sz w:val="20"/>
                <w:lang w:val="el-GR"/>
              </w:rPr>
              <w:t>Μεγάλες</w:t>
            </w:r>
            <w:r w:rsidRPr="005511E3">
              <w:rPr>
                <w:color w:val="021142"/>
                <w:spacing w:val="-6"/>
                <w:sz w:val="20"/>
                <w:lang w:val="el-GR"/>
              </w:rPr>
              <w:t xml:space="preserve"> </w:t>
            </w:r>
            <w:r w:rsidRPr="005511E3">
              <w:rPr>
                <w:color w:val="021142"/>
                <w:sz w:val="20"/>
                <w:lang w:val="el-GR"/>
              </w:rPr>
              <w:t>Επιχειρήσεις</w:t>
            </w:r>
          </w:p>
        </w:tc>
        <w:tc>
          <w:tcPr>
            <w:tcW w:w="2835" w:type="dxa"/>
          </w:tcPr>
          <w:p w14:paraId="7F684520" w14:textId="52A693E0" w:rsidR="004379E2" w:rsidRPr="001965CB" w:rsidRDefault="004379E2" w:rsidP="004379E2">
            <w:pPr>
              <w:pStyle w:val="TableParagraph"/>
              <w:spacing w:before="124"/>
              <w:rPr>
                <w:color w:val="021142"/>
                <w:sz w:val="20"/>
                <w:szCs w:val="20"/>
              </w:rPr>
            </w:pPr>
            <w:r w:rsidRPr="00D61163">
              <w:rPr>
                <w:color w:val="021142"/>
                <w:sz w:val="20"/>
                <w:szCs w:val="20"/>
              </w:rPr>
              <w:t>28</w:t>
            </w:r>
            <w:r>
              <w:rPr>
                <w:color w:val="021142"/>
                <w:sz w:val="20"/>
                <w:szCs w:val="20"/>
                <w:lang w:val="el-GR"/>
              </w:rPr>
              <w:t>.</w:t>
            </w:r>
            <w:r w:rsidRPr="0043202F">
              <w:rPr>
                <w:color w:val="021142"/>
                <w:sz w:val="20"/>
                <w:szCs w:val="20"/>
              </w:rPr>
              <w:t>46</w:t>
            </w:r>
            <w:r w:rsidR="008028B2">
              <w:rPr>
                <w:color w:val="021142"/>
                <w:sz w:val="20"/>
                <w:szCs w:val="20"/>
              </w:rPr>
              <w:t>3</w:t>
            </w:r>
          </w:p>
        </w:tc>
        <w:tc>
          <w:tcPr>
            <w:tcW w:w="2788" w:type="dxa"/>
          </w:tcPr>
          <w:p w14:paraId="5E30E092" w14:textId="63B05FD2" w:rsidR="004379E2" w:rsidRPr="001965CB" w:rsidRDefault="004379E2" w:rsidP="004379E2">
            <w:pPr>
              <w:pStyle w:val="TableParagraph"/>
              <w:spacing w:before="124"/>
              <w:rPr>
                <w:color w:val="021142"/>
                <w:sz w:val="20"/>
                <w:szCs w:val="20"/>
              </w:rPr>
            </w:pPr>
            <w:r>
              <w:rPr>
                <w:color w:val="021142"/>
                <w:sz w:val="20"/>
                <w:szCs w:val="20"/>
              </w:rPr>
              <w:t>22</w:t>
            </w:r>
            <w:r>
              <w:rPr>
                <w:color w:val="021142"/>
                <w:sz w:val="20"/>
                <w:szCs w:val="20"/>
                <w:lang w:val="el-GR"/>
              </w:rPr>
              <w:t>.</w:t>
            </w:r>
            <w:r>
              <w:rPr>
                <w:color w:val="021142"/>
                <w:sz w:val="20"/>
                <w:szCs w:val="20"/>
              </w:rPr>
              <w:t>448</w:t>
            </w:r>
          </w:p>
        </w:tc>
      </w:tr>
      <w:tr w:rsidR="004379E2" w14:paraId="0975FDF7" w14:textId="77777777" w:rsidTr="00950E8F">
        <w:trPr>
          <w:trHeight w:val="448"/>
        </w:trPr>
        <w:tc>
          <w:tcPr>
            <w:tcW w:w="4833" w:type="dxa"/>
            <w:vAlign w:val="center"/>
          </w:tcPr>
          <w:p w14:paraId="4D2A01BB" w14:textId="77777777" w:rsidR="004379E2" w:rsidRDefault="004379E2" w:rsidP="004379E2">
            <w:pPr>
              <w:pStyle w:val="TableParagraph"/>
              <w:ind w:left="78" w:right="0"/>
              <w:jc w:val="left"/>
              <w:rPr>
                <w:sz w:val="20"/>
              </w:rPr>
            </w:pPr>
            <w:r>
              <w:rPr>
                <w:color w:val="021142"/>
                <w:spacing w:val="-1"/>
                <w:sz w:val="20"/>
              </w:rPr>
              <w:t>Σύνολο</w:t>
            </w:r>
            <w:r>
              <w:rPr>
                <w:color w:val="021142"/>
                <w:spacing w:val="-10"/>
                <w:sz w:val="20"/>
              </w:rPr>
              <w:t xml:space="preserve"> </w:t>
            </w:r>
            <w:r>
              <w:rPr>
                <w:color w:val="021142"/>
                <w:spacing w:val="-1"/>
                <w:sz w:val="20"/>
              </w:rPr>
              <w:t>Χορηγήσεων</w:t>
            </w:r>
            <w:r>
              <w:rPr>
                <w:color w:val="021142"/>
                <w:spacing w:val="-9"/>
                <w:sz w:val="20"/>
              </w:rPr>
              <w:t xml:space="preserve"> </w:t>
            </w:r>
            <w:r>
              <w:rPr>
                <w:color w:val="021142"/>
                <w:sz w:val="20"/>
              </w:rPr>
              <w:t>(προ</w:t>
            </w:r>
            <w:r>
              <w:rPr>
                <w:color w:val="021142"/>
                <w:spacing w:val="-9"/>
                <w:sz w:val="20"/>
              </w:rPr>
              <w:t xml:space="preserve"> </w:t>
            </w:r>
            <w:r>
              <w:rPr>
                <w:color w:val="021142"/>
                <w:sz w:val="20"/>
              </w:rPr>
              <w:t>προβλέψεων)</w:t>
            </w:r>
          </w:p>
        </w:tc>
        <w:tc>
          <w:tcPr>
            <w:tcW w:w="2835" w:type="dxa"/>
          </w:tcPr>
          <w:p w14:paraId="5F913FC5" w14:textId="176EACDB" w:rsidR="004379E2" w:rsidRPr="001965CB" w:rsidRDefault="004379E2" w:rsidP="004379E2">
            <w:pPr>
              <w:pStyle w:val="TableParagraph"/>
              <w:spacing w:before="124"/>
              <w:rPr>
                <w:color w:val="021142"/>
                <w:sz w:val="20"/>
                <w:szCs w:val="20"/>
              </w:rPr>
            </w:pPr>
            <w:r w:rsidRPr="00D61163">
              <w:rPr>
                <w:color w:val="021142"/>
                <w:sz w:val="20"/>
                <w:szCs w:val="20"/>
              </w:rPr>
              <w:t>53</w:t>
            </w:r>
            <w:r>
              <w:rPr>
                <w:color w:val="021142"/>
                <w:sz w:val="20"/>
                <w:szCs w:val="20"/>
                <w:lang w:val="el-GR"/>
              </w:rPr>
              <w:t>.</w:t>
            </w:r>
            <w:r w:rsidRPr="0043202F">
              <w:rPr>
                <w:color w:val="021142"/>
                <w:sz w:val="20"/>
                <w:szCs w:val="20"/>
              </w:rPr>
              <w:t>6</w:t>
            </w:r>
            <w:r w:rsidR="008028B2">
              <w:rPr>
                <w:color w:val="021142"/>
                <w:sz w:val="20"/>
                <w:szCs w:val="20"/>
              </w:rPr>
              <w:t>20</w:t>
            </w:r>
          </w:p>
        </w:tc>
        <w:tc>
          <w:tcPr>
            <w:tcW w:w="2788" w:type="dxa"/>
          </w:tcPr>
          <w:p w14:paraId="6248446D" w14:textId="74DD9953" w:rsidR="004379E2" w:rsidRPr="001965CB" w:rsidRDefault="004379E2" w:rsidP="004379E2">
            <w:pPr>
              <w:pStyle w:val="TableParagraph"/>
              <w:spacing w:before="124"/>
              <w:rPr>
                <w:color w:val="021142"/>
                <w:sz w:val="20"/>
                <w:szCs w:val="20"/>
              </w:rPr>
            </w:pPr>
            <w:r w:rsidRPr="00F632AF">
              <w:rPr>
                <w:color w:val="021142"/>
                <w:sz w:val="20"/>
                <w:szCs w:val="20"/>
              </w:rPr>
              <w:t>4</w:t>
            </w:r>
            <w:r>
              <w:rPr>
                <w:color w:val="021142"/>
                <w:sz w:val="20"/>
                <w:szCs w:val="20"/>
              </w:rPr>
              <w:t>3</w:t>
            </w:r>
            <w:r>
              <w:rPr>
                <w:color w:val="021142"/>
                <w:sz w:val="20"/>
                <w:szCs w:val="20"/>
                <w:lang w:val="el-GR"/>
              </w:rPr>
              <w:t>.</w:t>
            </w:r>
            <w:r>
              <w:rPr>
                <w:color w:val="021142"/>
                <w:sz w:val="20"/>
                <w:szCs w:val="20"/>
              </w:rPr>
              <w:t>440</w:t>
            </w:r>
          </w:p>
        </w:tc>
      </w:tr>
      <w:tr w:rsidR="004379E2" w14:paraId="187EDDC3" w14:textId="77777777" w:rsidTr="001965CB">
        <w:trPr>
          <w:trHeight w:val="448"/>
        </w:trPr>
        <w:tc>
          <w:tcPr>
            <w:tcW w:w="4833" w:type="dxa"/>
            <w:vAlign w:val="center"/>
          </w:tcPr>
          <w:p w14:paraId="0E9CA395" w14:textId="77777777" w:rsidR="004379E2" w:rsidRDefault="004379E2" w:rsidP="004379E2">
            <w:pPr>
              <w:pStyle w:val="TableParagraph"/>
              <w:ind w:left="78" w:right="0"/>
              <w:jc w:val="left"/>
              <w:rPr>
                <w:sz w:val="20"/>
              </w:rPr>
            </w:pPr>
            <w:r>
              <w:rPr>
                <w:color w:val="021142"/>
                <w:spacing w:val="-1"/>
                <w:sz w:val="20"/>
              </w:rPr>
              <w:t>Σύνολο</w:t>
            </w:r>
            <w:r>
              <w:rPr>
                <w:color w:val="021142"/>
                <w:spacing w:val="-9"/>
                <w:sz w:val="20"/>
              </w:rPr>
              <w:t xml:space="preserve"> </w:t>
            </w:r>
            <w:r>
              <w:rPr>
                <w:color w:val="021142"/>
                <w:spacing w:val="-1"/>
                <w:sz w:val="20"/>
              </w:rPr>
              <w:t>Καταθέσεων</w:t>
            </w:r>
          </w:p>
        </w:tc>
        <w:tc>
          <w:tcPr>
            <w:tcW w:w="2835" w:type="dxa"/>
            <w:vAlign w:val="center"/>
          </w:tcPr>
          <w:p w14:paraId="2A3C3D1C" w14:textId="6C2CA25B" w:rsidR="004379E2" w:rsidRPr="001965CB" w:rsidRDefault="004379E2" w:rsidP="004379E2">
            <w:pPr>
              <w:pStyle w:val="TableParagraph"/>
              <w:spacing w:before="124"/>
              <w:rPr>
                <w:color w:val="021142"/>
                <w:sz w:val="20"/>
                <w:szCs w:val="20"/>
              </w:rPr>
            </w:pPr>
            <w:r w:rsidRPr="00C34F0A">
              <w:rPr>
                <w:color w:val="021142"/>
                <w:sz w:val="20"/>
                <w:szCs w:val="20"/>
                <w:lang w:val="en-GB"/>
              </w:rPr>
              <w:t>7</w:t>
            </w:r>
            <w:r w:rsidRPr="0043202F">
              <w:rPr>
                <w:color w:val="021142"/>
                <w:sz w:val="20"/>
                <w:szCs w:val="20"/>
                <w:lang w:val="en-GB"/>
              </w:rPr>
              <w:t>8</w:t>
            </w:r>
            <w:r>
              <w:rPr>
                <w:color w:val="021142"/>
                <w:sz w:val="20"/>
                <w:szCs w:val="20"/>
                <w:lang w:val="el-GR"/>
              </w:rPr>
              <w:t>.</w:t>
            </w:r>
            <w:r w:rsidRPr="0043202F">
              <w:rPr>
                <w:color w:val="021142"/>
                <w:sz w:val="20"/>
                <w:szCs w:val="20"/>
                <w:lang w:val="en-GB"/>
              </w:rPr>
              <w:t>1</w:t>
            </w:r>
            <w:r w:rsidR="008028B2">
              <w:rPr>
                <w:color w:val="021142"/>
                <w:sz w:val="20"/>
                <w:szCs w:val="20"/>
                <w:lang w:val="en-GB"/>
              </w:rPr>
              <w:t>52</w:t>
            </w:r>
          </w:p>
        </w:tc>
        <w:tc>
          <w:tcPr>
            <w:tcW w:w="2788" w:type="dxa"/>
            <w:vAlign w:val="center"/>
          </w:tcPr>
          <w:p w14:paraId="64011491" w14:textId="2C360F79" w:rsidR="004379E2" w:rsidRPr="001965CB" w:rsidRDefault="004379E2" w:rsidP="004379E2">
            <w:pPr>
              <w:pStyle w:val="TableParagraph"/>
              <w:spacing w:before="124"/>
              <w:rPr>
                <w:color w:val="021142"/>
                <w:sz w:val="20"/>
                <w:szCs w:val="20"/>
              </w:rPr>
            </w:pPr>
            <w:r>
              <w:rPr>
                <w:color w:val="021142"/>
                <w:sz w:val="20"/>
                <w:szCs w:val="20"/>
                <w:lang w:val="en-GB"/>
              </w:rPr>
              <w:t>58</w:t>
            </w:r>
            <w:r>
              <w:rPr>
                <w:color w:val="021142"/>
                <w:sz w:val="20"/>
                <w:szCs w:val="20"/>
                <w:lang w:val="el-GR"/>
              </w:rPr>
              <w:t>.</w:t>
            </w:r>
            <w:r>
              <w:rPr>
                <w:color w:val="021142"/>
                <w:sz w:val="20"/>
                <w:szCs w:val="20"/>
                <w:lang w:val="en-GB"/>
              </w:rPr>
              <w:t>624</w:t>
            </w:r>
          </w:p>
        </w:tc>
      </w:tr>
      <w:tr w:rsidR="004379E2" w14:paraId="2B7B1272" w14:textId="77777777" w:rsidTr="00950E8F">
        <w:trPr>
          <w:trHeight w:val="364"/>
        </w:trPr>
        <w:tc>
          <w:tcPr>
            <w:tcW w:w="4833" w:type="dxa"/>
            <w:vAlign w:val="center"/>
          </w:tcPr>
          <w:p w14:paraId="560E4892" w14:textId="77777777" w:rsidR="004379E2" w:rsidRDefault="004379E2" w:rsidP="004379E2">
            <w:pPr>
              <w:pStyle w:val="TableParagraph"/>
              <w:ind w:left="78" w:right="0"/>
              <w:jc w:val="left"/>
              <w:rPr>
                <w:sz w:val="20"/>
              </w:rPr>
            </w:pPr>
            <w:r>
              <w:rPr>
                <w:color w:val="021142"/>
                <w:spacing w:val="-1"/>
                <w:sz w:val="20"/>
              </w:rPr>
              <w:t>Σύνολο</w:t>
            </w:r>
            <w:r>
              <w:rPr>
                <w:color w:val="021142"/>
                <w:spacing w:val="-10"/>
                <w:sz w:val="20"/>
              </w:rPr>
              <w:t xml:space="preserve"> </w:t>
            </w:r>
            <w:r>
              <w:rPr>
                <w:color w:val="021142"/>
                <w:spacing w:val="-1"/>
                <w:sz w:val="20"/>
              </w:rPr>
              <w:t>Ενεργητικού</w:t>
            </w:r>
          </w:p>
        </w:tc>
        <w:tc>
          <w:tcPr>
            <w:tcW w:w="2835" w:type="dxa"/>
            <w:vAlign w:val="center"/>
          </w:tcPr>
          <w:p w14:paraId="7D02F4DC" w14:textId="0D4CEE0F" w:rsidR="004379E2" w:rsidRPr="001301F7" w:rsidRDefault="004379E2" w:rsidP="004379E2">
            <w:pPr>
              <w:pStyle w:val="TableParagraph"/>
              <w:spacing w:before="124"/>
              <w:rPr>
                <w:color w:val="021142"/>
                <w:sz w:val="20"/>
                <w:szCs w:val="20"/>
              </w:rPr>
            </w:pPr>
            <w:r w:rsidRPr="00950E8F">
              <w:rPr>
                <w:color w:val="021142"/>
                <w:sz w:val="20"/>
                <w:szCs w:val="20"/>
                <w:lang w:val="en-GB"/>
              </w:rPr>
              <w:t>10</w:t>
            </w:r>
            <w:r w:rsidR="001301F7" w:rsidRPr="00950E8F">
              <w:rPr>
                <w:color w:val="021142"/>
                <w:sz w:val="20"/>
                <w:szCs w:val="20"/>
                <w:lang w:val="el-GR"/>
              </w:rPr>
              <w:t>2</w:t>
            </w:r>
            <w:r w:rsidRPr="00950E8F">
              <w:rPr>
                <w:color w:val="021142"/>
                <w:sz w:val="20"/>
                <w:szCs w:val="20"/>
                <w:lang w:val="el-GR"/>
              </w:rPr>
              <w:t>.</w:t>
            </w:r>
            <w:r w:rsidR="001301F7" w:rsidRPr="00950E8F">
              <w:rPr>
                <w:color w:val="021142"/>
                <w:sz w:val="20"/>
                <w:szCs w:val="20"/>
                <w:lang w:val="el-GR"/>
              </w:rPr>
              <w:t>228</w:t>
            </w:r>
          </w:p>
        </w:tc>
        <w:tc>
          <w:tcPr>
            <w:tcW w:w="2788" w:type="dxa"/>
            <w:vAlign w:val="center"/>
          </w:tcPr>
          <w:p w14:paraId="7578845E" w14:textId="77D647DC" w:rsidR="004379E2" w:rsidRPr="001965CB" w:rsidRDefault="004379E2" w:rsidP="004379E2">
            <w:pPr>
              <w:pStyle w:val="TableParagraph"/>
              <w:spacing w:before="124"/>
              <w:rPr>
                <w:color w:val="021142"/>
                <w:sz w:val="20"/>
                <w:szCs w:val="20"/>
              </w:rPr>
            </w:pPr>
            <w:r>
              <w:rPr>
                <w:color w:val="021142"/>
                <w:sz w:val="20"/>
                <w:szCs w:val="20"/>
                <w:lang w:val="en-GB"/>
              </w:rPr>
              <w:t>81</w:t>
            </w:r>
            <w:r>
              <w:rPr>
                <w:color w:val="021142"/>
                <w:sz w:val="20"/>
                <w:szCs w:val="20"/>
                <w:lang w:val="el-GR"/>
              </w:rPr>
              <w:t>.</w:t>
            </w:r>
            <w:r>
              <w:rPr>
                <w:color w:val="021142"/>
                <w:sz w:val="20"/>
                <w:szCs w:val="20"/>
                <w:lang w:val="en-GB"/>
              </w:rPr>
              <w:t>256</w:t>
            </w:r>
          </w:p>
        </w:tc>
      </w:tr>
    </w:tbl>
    <w:p w14:paraId="2B7F627A" w14:textId="77777777" w:rsidR="00852D18" w:rsidRDefault="00852D18">
      <w:pPr>
        <w:pStyle w:val="BodyText"/>
        <w:spacing w:before="6" w:after="1"/>
        <w:rPr>
          <w:b/>
          <w:sz w:val="15"/>
        </w:rPr>
      </w:pPr>
    </w:p>
    <w:tbl>
      <w:tblPr>
        <w:tblW w:w="0" w:type="auto"/>
        <w:tblInd w:w="270" w:type="dxa"/>
        <w:tblBorders>
          <w:top w:val="single" w:sz="2" w:space="0" w:color="021142"/>
          <w:left w:val="single" w:sz="2" w:space="0" w:color="021142"/>
          <w:bottom w:val="single" w:sz="2" w:space="0" w:color="021142"/>
          <w:right w:val="single" w:sz="2" w:space="0" w:color="021142"/>
          <w:insideH w:val="single" w:sz="2" w:space="0" w:color="021142"/>
          <w:insideV w:val="single" w:sz="2" w:space="0" w:color="021142"/>
        </w:tblBorders>
        <w:tblLayout w:type="fixed"/>
        <w:tblCellMar>
          <w:left w:w="0" w:type="dxa"/>
          <w:right w:w="0" w:type="dxa"/>
        </w:tblCellMar>
        <w:tblLook w:val="01E0" w:firstRow="1" w:lastRow="1" w:firstColumn="1" w:lastColumn="1" w:noHBand="0" w:noVBand="0"/>
      </w:tblPr>
      <w:tblGrid>
        <w:gridCol w:w="5232"/>
        <w:gridCol w:w="2612"/>
        <w:gridCol w:w="2612"/>
      </w:tblGrid>
      <w:tr w:rsidR="00364250" w14:paraId="6ECFB396" w14:textId="77777777" w:rsidTr="00EA0F90">
        <w:trPr>
          <w:trHeight w:val="437"/>
        </w:trPr>
        <w:tc>
          <w:tcPr>
            <w:tcW w:w="5232" w:type="dxa"/>
            <w:tcBorders>
              <w:top w:val="nil"/>
              <w:left w:val="nil"/>
              <w:bottom w:val="nil"/>
              <w:right w:val="nil"/>
            </w:tcBorders>
            <w:shd w:val="clear" w:color="auto" w:fill="021142"/>
            <w:vAlign w:val="center"/>
          </w:tcPr>
          <w:p w14:paraId="50F1AB99" w14:textId="77777777" w:rsidR="00364250" w:rsidRPr="00FF4409" w:rsidRDefault="00364250" w:rsidP="00364250">
            <w:pPr>
              <w:pStyle w:val="TableParagraph"/>
              <w:spacing w:before="125"/>
              <w:ind w:left="80" w:right="0"/>
              <w:jc w:val="left"/>
              <w:rPr>
                <w:color w:val="FFFFFF"/>
                <w:spacing w:val="-1"/>
                <w:sz w:val="20"/>
              </w:rPr>
            </w:pPr>
            <w:r>
              <w:rPr>
                <w:color w:val="FFFFFF"/>
                <w:spacing w:val="-1"/>
                <w:sz w:val="20"/>
              </w:rPr>
              <w:t>Χρηματοοικονομικοί</w:t>
            </w:r>
            <w:r w:rsidRPr="00FF4409">
              <w:rPr>
                <w:color w:val="FFFFFF"/>
                <w:spacing w:val="-1"/>
                <w:sz w:val="20"/>
              </w:rPr>
              <w:t xml:space="preserve"> Δείκτες</w:t>
            </w:r>
          </w:p>
        </w:tc>
        <w:tc>
          <w:tcPr>
            <w:tcW w:w="2612" w:type="dxa"/>
            <w:tcBorders>
              <w:top w:val="nil"/>
              <w:left w:val="nil"/>
              <w:bottom w:val="nil"/>
              <w:right w:val="nil"/>
            </w:tcBorders>
            <w:shd w:val="clear" w:color="auto" w:fill="021142"/>
          </w:tcPr>
          <w:p w14:paraId="6250FF25" w14:textId="0E4C2AD3" w:rsidR="00364250" w:rsidRPr="00E755D1" w:rsidRDefault="00D56F06" w:rsidP="00364250">
            <w:pPr>
              <w:pStyle w:val="TableParagraph"/>
              <w:spacing w:before="125"/>
              <w:ind w:left="541" w:right="538"/>
              <w:rPr>
                <w:color w:val="FFFFFF"/>
                <w:sz w:val="20"/>
                <w:lang w:val="el-GR"/>
              </w:rPr>
            </w:pPr>
            <w:r>
              <w:rPr>
                <w:color w:val="FFFFFF"/>
                <w:sz w:val="20"/>
                <w:lang w:val="el-GR"/>
              </w:rPr>
              <w:t>Α΄</w:t>
            </w:r>
            <w:r w:rsidR="00D953B6">
              <w:rPr>
                <w:color w:val="FFFFFF"/>
                <w:sz w:val="20"/>
                <w:lang w:val="el-GR"/>
              </w:rPr>
              <w:t xml:space="preserve"> Εξαμ.</w:t>
            </w:r>
            <w:r>
              <w:rPr>
                <w:color w:val="FFFFFF"/>
                <w:sz w:val="20"/>
                <w:lang w:val="el-GR"/>
              </w:rPr>
              <w:t xml:space="preserve"> 2025</w:t>
            </w:r>
          </w:p>
        </w:tc>
        <w:tc>
          <w:tcPr>
            <w:tcW w:w="2612" w:type="dxa"/>
            <w:tcBorders>
              <w:top w:val="nil"/>
              <w:left w:val="nil"/>
              <w:bottom w:val="nil"/>
              <w:right w:val="nil"/>
            </w:tcBorders>
            <w:shd w:val="clear" w:color="auto" w:fill="021142"/>
          </w:tcPr>
          <w:p w14:paraId="5859243A" w14:textId="58CA8BCC" w:rsidR="00364250" w:rsidRPr="00E755D1" w:rsidRDefault="00D56F06" w:rsidP="00364250">
            <w:pPr>
              <w:pStyle w:val="TableParagraph"/>
              <w:spacing w:before="125"/>
              <w:ind w:left="541" w:right="538"/>
              <w:rPr>
                <w:color w:val="FFFFFF"/>
                <w:sz w:val="20"/>
                <w:lang w:val="el-GR"/>
              </w:rPr>
            </w:pPr>
            <w:r>
              <w:rPr>
                <w:sz w:val="20"/>
              </w:rPr>
              <w:t>Α΄</w:t>
            </w:r>
            <w:r w:rsidR="00D953B6">
              <w:rPr>
                <w:sz w:val="20"/>
                <w:lang w:val="el-GR"/>
              </w:rPr>
              <w:t xml:space="preserve"> Εξαμ.</w:t>
            </w:r>
            <w:r>
              <w:rPr>
                <w:sz w:val="20"/>
              </w:rPr>
              <w:t xml:space="preserve"> 2024</w:t>
            </w:r>
          </w:p>
        </w:tc>
      </w:tr>
      <w:tr w:rsidR="00D953B6" w14:paraId="4C59CF8B" w14:textId="77777777" w:rsidTr="007E16AF">
        <w:trPr>
          <w:trHeight w:hRule="exact" w:val="454"/>
        </w:trPr>
        <w:tc>
          <w:tcPr>
            <w:tcW w:w="5232" w:type="dxa"/>
            <w:tcBorders>
              <w:top w:val="nil"/>
            </w:tcBorders>
            <w:vAlign w:val="center"/>
          </w:tcPr>
          <w:p w14:paraId="31297EA0" w14:textId="77777777" w:rsidR="00D953B6" w:rsidRDefault="00D953B6" w:rsidP="00D953B6">
            <w:pPr>
              <w:pStyle w:val="TableParagraph"/>
              <w:spacing w:before="124"/>
              <w:ind w:left="78" w:right="0"/>
              <w:jc w:val="left"/>
              <w:rPr>
                <w:sz w:val="20"/>
              </w:rPr>
            </w:pPr>
            <w:r>
              <w:rPr>
                <w:color w:val="021142"/>
                <w:sz w:val="20"/>
              </w:rPr>
              <w:t>Καθαρό</w:t>
            </w:r>
            <w:r>
              <w:rPr>
                <w:color w:val="021142"/>
                <w:spacing w:val="-10"/>
                <w:sz w:val="20"/>
              </w:rPr>
              <w:t xml:space="preserve"> </w:t>
            </w:r>
            <w:r>
              <w:rPr>
                <w:color w:val="021142"/>
                <w:sz w:val="20"/>
              </w:rPr>
              <w:t>Περιθώριο</w:t>
            </w:r>
            <w:r>
              <w:rPr>
                <w:color w:val="021142"/>
                <w:spacing w:val="-10"/>
                <w:sz w:val="20"/>
              </w:rPr>
              <w:t xml:space="preserve"> </w:t>
            </w:r>
            <w:r>
              <w:rPr>
                <w:color w:val="021142"/>
                <w:sz w:val="20"/>
              </w:rPr>
              <w:t>Επιτοκίου</w:t>
            </w:r>
          </w:p>
        </w:tc>
        <w:tc>
          <w:tcPr>
            <w:tcW w:w="2612" w:type="dxa"/>
            <w:tcBorders>
              <w:top w:val="nil"/>
            </w:tcBorders>
            <w:vAlign w:val="center"/>
          </w:tcPr>
          <w:p w14:paraId="1FEB80CA" w14:textId="6D61FB48" w:rsidR="00D953B6" w:rsidRPr="003570AB" w:rsidRDefault="00D953B6" w:rsidP="00D953B6">
            <w:pPr>
              <w:pStyle w:val="TableParagraph"/>
              <w:spacing w:before="124"/>
              <w:rPr>
                <w:color w:val="021142"/>
                <w:sz w:val="20"/>
              </w:rPr>
            </w:pPr>
            <w:r w:rsidRPr="003570AB">
              <w:rPr>
                <w:color w:val="021142"/>
                <w:sz w:val="20"/>
                <w:lang w:val="el-GR"/>
              </w:rPr>
              <w:t>2,5</w:t>
            </w:r>
            <w:r w:rsidR="00487334" w:rsidRPr="00950E8F">
              <w:rPr>
                <w:color w:val="021142"/>
                <w:sz w:val="20"/>
                <w:lang w:val="el-GR"/>
              </w:rPr>
              <w:t>1</w:t>
            </w:r>
            <w:r w:rsidRPr="003570AB">
              <w:rPr>
                <w:color w:val="021142"/>
                <w:sz w:val="20"/>
              </w:rPr>
              <w:t>%</w:t>
            </w:r>
          </w:p>
        </w:tc>
        <w:tc>
          <w:tcPr>
            <w:tcW w:w="2612" w:type="dxa"/>
            <w:tcBorders>
              <w:top w:val="nil"/>
            </w:tcBorders>
            <w:vAlign w:val="center"/>
          </w:tcPr>
          <w:p w14:paraId="28B895DC" w14:textId="2D9B8022" w:rsidR="00D953B6" w:rsidRPr="00ED4CDD" w:rsidRDefault="00D953B6" w:rsidP="00D953B6">
            <w:pPr>
              <w:pStyle w:val="TableParagraph"/>
              <w:spacing w:before="124"/>
              <w:rPr>
                <w:color w:val="021142"/>
                <w:sz w:val="20"/>
              </w:rPr>
            </w:pPr>
            <w:r>
              <w:rPr>
                <w:color w:val="021142"/>
                <w:sz w:val="20"/>
                <w:lang w:val="el-GR"/>
              </w:rPr>
              <w:t>2</w:t>
            </w:r>
            <w:r w:rsidR="003964D0">
              <w:rPr>
                <w:color w:val="021142"/>
                <w:sz w:val="20"/>
                <w:lang w:val="en-GB"/>
              </w:rPr>
              <w:t>,</w:t>
            </w:r>
            <w:r>
              <w:rPr>
                <w:color w:val="021142"/>
                <w:sz w:val="20"/>
                <w:lang w:val="el-GR"/>
              </w:rPr>
              <w:t>8</w:t>
            </w:r>
            <w:r>
              <w:rPr>
                <w:color w:val="021142"/>
                <w:sz w:val="20"/>
                <w:lang w:val="en-GB"/>
              </w:rPr>
              <w:t>3</w:t>
            </w:r>
            <w:r>
              <w:rPr>
                <w:color w:val="021142"/>
                <w:sz w:val="20"/>
              </w:rPr>
              <w:t>%</w:t>
            </w:r>
          </w:p>
        </w:tc>
      </w:tr>
      <w:tr w:rsidR="00D953B6" w14:paraId="7D048D77" w14:textId="77777777" w:rsidTr="007E16AF">
        <w:trPr>
          <w:trHeight w:hRule="exact" w:val="454"/>
        </w:trPr>
        <w:tc>
          <w:tcPr>
            <w:tcW w:w="5232" w:type="dxa"/>
            <w:vAlign w:val="center"/>
          </w:tcPr>
          <w:p w14:paraId="2C7BF14C" w14:textId="77777777" w:rsidR="00D953B6" w:rsidRDefault="00D953B6" w:rsidP="00D953B6">
            <w:pPr>
              <w:pStyle w:val="TableParagraph"/>
              <w:ind w:left="78" w:right="0"/>
              <w:jc w:val="left"/>
              <w:rPr>
                <w:sz w:val="20"/>
              </w:rPr>
            </w:pPr>
            <w:r>
              <w:rPr>
                <w:color w:val="021142"/>
                <w:sz w:val="20"/>
              </w:rPr>
              <w:t>Δείκτης</w:t>
            </w:r>
            <w:r>
              <w:rPr>
                <w:color w:val="021142"/>
                <w:spacing w:val="-7"/>
                <w:sz w:val="20"/>
              </w:rPr>
              <w:t xml:space="preserve"> </w:t>
            </w:r>
            <w:r>
              <w:rPr>
                <w:color w:val="021142"/>
                <w:sz w:val="20"/>
              </w:rPr>
              <w:t>Κόστους</w:t>
            </w:r>
            <w:r>
              <w:rPr>
                <w:color w:val="021142"/>
                <w:spacing w:val="-7"/>
                <w:sz w:val="20"/>
              </w:rPr>
              <w:t xml:space="preserve"> </w:t>
            </w:r>
            <w:r>
              <w:rPr>
                <w:color w:val="021142"/>
                <w:sz w:val="20"/>
              </w:rPr>
              <w:t>προς</w:t>
            </w:r>
            <w:r>
              <w:rPr>
                <w:color w:val="021142"/>
                <w:spacing w:val="-7"/>
                <w:sz w:val="20"/>
              </w:rPr>
              <w:t xml:space="preserve"> </w:t>
            </w:r>
            <w:r>
              <w:rPr>
                <w:color w:val="021142"/>
                <w:sz w:val="20"/>
              </w:rPr>
              <w:t>Έσοδα</w:t>
            </w:r>
          </w:p>
        </w:tc>
        <w:tc>
          <w:tcPr>
            <w:tcW w:w="2612" w:type="dxa"/>
            <w:vAlign w:val="center"/>
          </w:tcPr>
          <w:p w14:paraId="29E4B65F" w14:textId="17A44AAE" w:rsidR="00D953B6" w:rsidRPr="003570AB" w:rsidRDefault="00D953B6" w:rsidP="00D953B6">
            <w:pPr>
              <w:pStyle w:val="TableParagraph"/>
              <w:spacing w:before="124"/>
              <w:rPr>
                <w:color w:val="021142"/>
                <w:sz w:val="20"/>
                <w:lang w:val="el-GR"/>
              </w:rPr>
            </w:pPr>
            <w:r w:rsidRPr="003570AB">
              <w:rPr>
                <w:color w:val="021142"/>
                <w:sz w:val="20"/>
                <w:lang w:val="el-GR"/>
              </w:rPr>
              <w:t>3</w:t>
            </w:r>
            <w:r w:rsidR="00487334" w:rsidRPr="00950E8F">
              <w:rPr>
                <w:color w:val="021142"/>
                <w:sz w:val="20"/>
                <w:lang w:val="el-GR"/>
              </w:rPr>
              <w:t>7</w:t>
            </w:r>
            <w:r w:rsidRPr="003570AB">
              <w:rPr>
                <w:color w:val="021142"/>
                <w:sz w:val="20"/>
                <w:lang w:val="el-GR"/>
              </w:rPr>
              <w:t>,</w:t>
            </w:r>
            <w:r w:rsidR="00487334" w:rsidRPr="00950E8F">
              <w:rPr>
                <w:color w:val="021142"/>
                <w:sz w:val="20"/>
                <w:lang w:val="el-GR"/>
              </w:rPr>
              <w:t>0</w:t>
            </w:r>
            <w:r w:rsidRPr="003570AB">
              <w:rPr>
                <w:color w:val="021142"/>
                <w:sz w:val="20"/>
              </w:rPr>
              <w:t>%</w:t>
            </w:r>
          </w:p>
        </w:tc>
        <w:tc>
          <w:tcPr>
            <w:tcW w:w="2612" w:type="dxa"/>
            <w:vAlign w:val="center"/>
          </w:tcPr>
          <w:p w14:paraId="4635121C" w14:textId="10957F5C" w:rsidR="00D953B6" w:rsidRPr="00ED4CDD" w:rsidRDefault="00D953B6" w:rsidP="00D953B6">
            <w:pPr>
              <w:pStyle w:val="TableParagraph"/>
              <w:spacing w:before="124"/>
              <w:rPr>
                <w:color w:val="021142"/>
                <w:sz w:val="20"/>
              </w:rPr>
            </w:pPr>
            <w:r>
              <w:rPr>
                <w:color w:val="021142"/>
                <w:sz w:val="20"/>
                <w:lang w:val="el-GR"/>
              </w:rPr>
              <w:t>3</w:t>
            </w:r>
            <w:r>
              <w:rPr>
                <w:color w:val="021142"/>
                <w:sz w:val="20"/>
                <w:lang w:val="en-GB"/>
              </w:rPr>
              <w:t>1</w:t>
            </w:r>
            <w:r w:rsidR="003964D0">
              <w:rPr>
                <w:color w:val="021142"/>
                <w:sz w:val="20"/>
                <w:lang w:val="en-GB"/>
              </w:rPr>
              <w:t>,</w:t>
            </w:r>
            <w:r>
              <w:rPr>
                <w:color w:val="021142"/>
                <w:sz w:val="20"/>
                <w:lang w:val="el-GR"/>
              </w:rPr>
              <w:t>3</w:t>
            </w:r>
            <w:r>
              <w:rPr>
                <w:color w:val="021142"/>
                <w:sz w:val="20"/>
              </w:rPr>
              <w:t>%</w:t>
            </w:r>
          </w:p>
        </w:tc>
      </w:tr>
      <w:tr w:rsidR="00D953B6" w14:paraId="1FAE1415" w14:textId="77777777" w:rsidTr="007E16AF">
        <w:trPr>
          <w:trHeight w:hRule="exact" w:val="454"/>
        </w:trPr>
        <w:tc>
          <w:tcPr>
            <w:tcW w:w="5232" w:type="dxa"/>
            <w:vAlign w:val="center"/>
          </w:tcPr>
          <w:p w14:paraId="32B41182" w14:textId="4619BD6D" w:rsidR="00D953B6" w:rsidRDefault="00D953B6" w:rsidP="00D953B6">
            <w:pPr>
              <w:pStyle w:val="TableParagraph"/>
              <w:ind w:left="78" w:right="0"/>
              <w:jc w:val="left"/>
              <w:rPr>
                <w:sz w:val="20"/>
              </w:rPr>
            </w:pPr>
            <w:r>
              <w:rPr>
                <w:color w:val="021142"/>
                <w:sz w:val="20"/>
              </w:rPr>
              <w:t>Μη</w:t>
            </w:r>
            <w:r>
              <w:rPr>
                <w:color w:val="021142"/>
                <w:spacing w:val="-12"/>
                <w:sz w:val="20"/>
              </w:rPr>
              <w:t xml:space="preserve"> </w:t>
            </w:r>
            <w:r>
              <w:rPr>
                <w:color w:val="021142"/>
                <w:sz w:val="20"/>
              </w:rPr>
              <w:t>Εξυπηρετούμενα</w:t>
            </w:r>
            <w:r>
              <w:rPr>
                <w:color w:val="021142"/>
                <w:spacing w:val="-12"/>
                <w:sz w:val="20"/>
              </w:rPr>
              <w:t xml:space="preserve"> </w:t>
            </w:r>
            <w:r>
              <w:rPr>
                <w:color w:val="021142"/>
                <w:sz w:val="20"/>
              </w:rPr>
              <w:t>Ανοίγματα</w:t>
            </w:r>
            <w:r>
              <w:rPr>
                <w:color w:val="021142"/>
                <w:spacing w:val="-11"/>
                <w:sz w:val="20"/>
              </w:rPr>
              <w:t xml:space="preserve"> </w:t>
            </w:r>
            <w:r>
              <w:rPr>
                <w:color w:val="021142"/>
                <w:sz w:val="20"/>
              </w:rPr>
              <w:t>(NPE</w:t>
            </w:r>
            <w:r>
              <w:rPr>
                <w:color w:val="021142"/>
                <w:sz w:val="20"/>
                <w:lang w:val="en-GB"/>
              </w:rPr>
              <w:t>s</w:t>
            </w:r>
            <w:r>
              <w:rPr>
                <w:color w:val="021142"/>
                <w:sz w:val="20"/>
              </w:rPr>
              <w:t>)</w:t>
            </w:r>
          </w:p>
        </w:tc>
        <w:tc>
          <w:tcPr>
            <w:tcW w:w="2612" w:type="dxa"/>
            <w:vAlign w:val="center"/>
          </w:tcPr>
          <w:p w14:paraId="411064B2" w14:textId="14155BF5" w:rsidR="00D953B6" w:rsidRPr="003570AB" w:rsidRDefault="00D953B6" w:rsidP="00D953B6">
            <w:pPr>
              <w:pStyle w:val="TableParagraph"/>
              <w:spacing w:before="124"/>
              <w:rPr>
                <w:color w:val="021142"/>
                <w:sz w:val="20"/>
                <w:lang w:val="el-GR"/>
              </w:rPr>
            </w:pPr>
            <w:r w:rsidRPr="003570AB">
              <w:rPr>
                <w:color w:val="021142"/>
                <w:sz w:val="20"/>
                <w:lang w:val="el-GR"/>
              </w:rPr>
              <w:t>2,</w:t>
            </w:r>
            <w:r w:rsidR="00487334" w:rsidRPr="00950E8F">
              <w:rPr>
                <w:color w:val="021142"/>
                <w:sz w:val="20"/>
                <w:lang w:val="el-GR"/>
              </w:rPr>
              <w:t>8</w:t>
            </w:r>
            <w:r w:rsidRPr="003570AB">
              <w:rPr>
                <w:color w:val="021142"/>
                <w:sz w:val="20"/>
              </w:rPr>
              <w:t>%</w:t>
            </w:r>
            <w:r w:rsidR="00D7170C" w:rsidRPr="00376337">
              <w:rPr>
                <w:color w:val="021142"/>
                <w:sz w:val="20"/>
                <w:vertAlign w:val="superscript"/>
              </w:rPr>
              <w:t>4</w:t>
            </w:r>
          </w:p>
        </w:tc>
        <w:tc>
          <w:tcPr>
            <w:tcW w:w="2612" w:type="dxa"/>
            <w:vAlign w:val="center"/>
          </w:tcPr>
          <w:p w14:paraId="2CF3CA8B" w14:textId="1EFBA030" w:rsidR="00D953B6" w:rsidRPr="00ED4CDD" w:rsidRDefault="00D953B6" w:rsidP="00D953B6">
            <w:pPr>
              <w:pStyle w:val="TableParagraph"/>
              <w:spacing w:before="124"/>
              <w:rPr>
                <w:color w:val="021142"/>
                <w:sz w:val="20"/>
              </w:rPr>
            </w:pPr>
            <w:r>
              <w:rPr>
                <w:color w:val="021142"/>
                <w:sz w:val="20"/>
                <w:lang w:val="el-GR"/>
              </w:rPr>
              <w:t>3</w:t>
            </w:r>
            <w:r w:rsidR="003964D0">
              <w:rPr>
                <w:color w:val="021142"/>
                <w:sz w:val="20"/>
                <w:lang w:val="en-GB"/>
              </w:rPr>
              <w:t>,</w:t>
            </w:r>
            <w:r>
              <w:rPr>
                <w:color w:val="021142"/>
                <w:sz w:val="20"/>
                <w:lang w:val="en-GB"/>
              </w:rPr>
              <w:t>1</w:t>
            </w:r>
            <w:r>
              <w:rPr>
                <w:color w:val="021142"/>
                <w:sz w:val="20"/>
              </w:rPr>
              <w:t>%</w:t>
            </w:r>
            <w:r w:rsidR="00D7170C">
              <w:rPr>
                <w:color w:val="021142"/>
                <w:sz w:val="20"/>
                <w:vertAlign w:val="superscript"/>
              </w:rPr>
              <w:t>4</w:t>
            </w:r>
          </w:p>
        </w:tc>
      </w:tr>
      <w:tr w:rsidR="00D953B6" w:rsidRPr="00ED4CDD" w14:paraId="172F2F3B" w14:textId="77777777" w:rsidTr="007E16AF">
        <w:trPr>
          <w:trHeight w:hRule="exact" w:val="454"/>
        </w:trPr>
        <w:tc>
          <w:tcPr>
            <w:tcW w:w="5232" w:type="dxa"/>
            <w:vAlign w:val="center"/>
          </w:tcPr>
          <w:p w14:paraId="74453E72" w14:textId="77777777" w:rsidR="00D953B6" w:rsidRPr="005511E3" w:rsidRDefault="00D953B6" w:rsidP="00D953B6">
            <w:pPr>
              <w:pStyle w:val="TableParagraph"/>
              <w:ind w:left="78" w:right="0"/>
              <w:jc w:val="left"/>
              <w:rPr>
                <w:sz w:val="20"/>
                <w:lang w:val="el-GR"/>
              </w:rPr>
            </w:pPr>
            <w:r w:rsidRPr="005511E3">
              <w:rPr>
                <w:color w:val="021142"/>
                <w:spacing w:val="-1"/>
                <w:sz w:val="20"/>
                <w:lang w:val="el-GR"/>
              </w:rPr>
              <w:t>Σωρευτικές</w:t>
            </w:r>
            <w:r w:rsidRPr="005511E3">
              <w:rPr>
                <w:color w:val="021142"/>
                <w:spacing w:val="-12"/>
                <w:sz w:val="20"/>
                <w:lang w:val="el-GR"/>
              </w:rPr>
              <w:t xml:space="preserve"> </w:t>
            </w:r>
            <w:r>
              <w:rPr>
                <w:color w:val="021142"/>
                <w:sz w:val="20"/>
                <w:lang w:val="el-GR"/>
              </w:rPr>
              <w:t>Π</w:t>
            </w:r>
            <w:r w:rsidRPr="005511E3">
              <w:rPr>
                <w:color w:val="021142"/>
                <w:sz w:val="20"/>
                <w:lang w:val="el-GR"/>
              </w:rPr>
              <w:t>ροβλέψεις</w:t>
            </w:r>
            <w:r w:rsidRPr="005511E3">
              <w:rPr>
                <w:color w:val="021142"/>
                <w:spacing w:val="-11"/>
                <w:sz w:val="20"/>
                <w:lang w:val="el-GR"/>
              </w:rPr>
              <w:t xml:space="preserve"> </w:t>
            </w:r>
            <w:r w:rsidRPr="005511E3">
              <w:rPr>
                <w:color w:val="021142"/>
                <w:sz w:val="20"/>
                <w:lang w:val="el-GR"/>
              </w:rPr>
              <w:t>προς</w:t>
            </w:r>
            <w:r w:rsidRPr="005511E3">
              <w:rPr>
                <w:color w:val="021142"/>
                <w:spacing w:val="-11"/>
                <w:sz w:val="20"/>
                <w:lang w:val="el-GR"/>
              </w:rPr>
              <w:t xml:space="preserve"> </w:t>
            </w:r>
            <w:r w:rsidRPr="005511E3">
              <w:rPr>
                <w:color w:val="021142"/>
                <w:sz w:val="20"/>
                <w:lang w:val="el-GR"/>
              </w:rPr>
              <w:t>μη</w:t>
            </w:r>
            <w:r w:rsidRPr="005511E3">
              <w:rPr>
                <w:color w:val="021142"/>
                <w:spacing w:val="-11"/>
                <w:sz w:val="20"/>
                <w:lang w:val="el-GR"/>
              </w:rPr>
              <w:t xml:space="preserve"> </w:t>
            </w:r>
            <w:r>
              <w:rPr>
                <w:color w:val="021142"/>
                <w:sz w:val="20"/>
                <w:lang w:val="el-GR"/>
              </w:rPr>
              <w:t>Ε</w:t>
            </w:r>
            <w:r w:rsidRPr="005511E3">
              <w:rPr>
                <w:color w:val="021142"/>
                <w:sz w:val="20"/>
                <w:lang w:val="el-GR"/>
              </w:rPr>
              <w:t>ξυπηρετούμενα</w:t>
            </w:r>
            <w:r w:rsidRPr="005511E3">
              <w:rPr>
                <w:color w:val="021142"/>
                <w:spacing w:val="-11"/>
                <w:sz w:val="20"/>
                <w:lang w:val="el-GR"/>
              </w:rPr>
              <w:t xml:space="preserve"> </w:t>
            </w:r>
            <w:r>
              <w:rPr>
                <w:color w:val="021142"/>
                <w:sz w:val="20"/>
                <w:lang w:val="el-GR"/>
              </w:rPr>
              <w:t>Α</w:t>
            </w:r>
            <w:r w:rsidRPr="005511E3">
              <w:rPr>
                <w:color w:val="021142"/>
                <w:sz w:val="20"/>
                <w:lang w:val="el-GR"/>
              </w:rPr>
              <w:t>νοίγματα</w:t>
            </w:r>
          </w:p>
        </w:tc>
        <w:tc>
          <w:tcPr>
            <w:tcW w:w="2612" w:type="dxa"/>
            <w:vAlign w:val="center"/>
          </w:tcPr>
          <w:p w14:paraId="1F798CEF" w14:textId="3CB9FC80" w:rsidR="00D953B6" w:rsidRPr="003570AB" w:rsidRDefault="00487334" w:rsidP="00D953B6">
            <w:pPr>
              <w:pStyle w:val="TableParagraph"/>
              <w:spacing w:before="124"/>
              <w:rPr>
                <w:color w:val="021142"/>
                <w:sz w:val="20"/>
                <w:lang w:val="el-GR"/>
              </w:rPr>
            </w:pPr>
            <w:r w:rsidRPr="00950E8F">
              <w:rPr>
                <w:color w:val="021142"/>
                <w:sz w:val="20"/>
                <w:lang w:val="el-GR"/>
              </w:rPr>
              <w:t>92,8</w:t>
            </w:r>
            <w:r w:rsidR="00D953B6" w:rsidRPr="003570AB">
              <w:rPr>
                <w:color w:val="021142"/>
                <w:sz w:val="20"/>
              </w:rPr>
              <w:t>%</w:t>
            </w:r>
            <w:r w:rsidR="00D7170C" w:rsidRPr="00376337">
              <w:rPr>
                <w:color w:val="021142"/>
                <w:sz w:val="20"/>
                <w:vertAlign w:val="superscript"/>
              </w:rPr>
              <w:t>5</w:t>
            </w:r>
          </w:p>
        </w:tc>
        <w:tc>
          <w:tcPr>
            <w:tcW w:w="2612" w:type="dxa"/>
            <w:vAlign w:val="center"/>
          </w:tcPr>
          <w:p w14:paraId="1520677F" w14:textId="1D060C4D" w:rsidR="00D953B6" w:rsidRPr="00ED4CDD" w:rsidRDefault="00D953B6" w:rsidP="00D953B6">
            <w:pPr>
              <w:pStyle w:val="TableParagraph"/>
              <w:spacing w:before="124"/>
              <w:rPr>
                <w:color w:val="021142"/>
                <w:sz w:val="20"/>
              </w:rPr>
            </w:pPr>
            <w:r>
              <w:rPr>
                <w:color w:val="021142"/>
                <w:sz w:val="20"/>
                <w:lang w:val="el-GR"/>
              </w:rPr>
              <w:t>9</w:t>
            </w:r>
            <w:r>
              <w:rPr>
                <w:color w:val="021142"/>
                <w:sz w:val="20"/>
                <w:lang w:val="en-GB"/>
              </w:rPr>
              <w:t>3</w:t>
            </w:r>
            <w:r w:rsidR="003964D0">
              <w:rPr>
                <w:color w:val="021142"/>
                <w:sz w:val="20"/>
                <w:lang w:val="en-GB"/>
              </w:rPr>
              <w:t>,</w:t>
            </w:r>
            <w:r>
              <w:rPr>
                <w:color w:val="021142"/>
                <w:sz w:val="20"/>
                <w:lang w:val="en-GB"/>
              </w:rPr>
              <w:t>2</w:t>
            </w:r>
            <w:r>
              <w:rPr>
                <w:color w:val="021142"/>
                <w:sz w:val="20"/>
              </w:rPr>
              <w:t>%</w:t>
            </w:r>
            <w:r w:rsidR="00D7170C">
              <w:rPr>
                <w:color w:val="021142"/>
                <w:sz w:val="20"/>
                <w:vertAlign w:val="superscript"/>
              </w:rPr>
              <w:t>5</w:t>
            </w:r>
          </w:p>
        </w:tc>
      </w:tr>
      <w:tr w:rsidR="00D953B6" w14:paraId="5ABCBF4F" w14:textId="77777777" w:rsidTr="007E16AF">
        <w:trPr>
          <w:trHeight w:hRule="exact" w:val="454"/>
        </w:trPr>
        <w:tc>
          <w:tcPr>
            <w:tcW w:w="5232" w:type="dxa"/>
            <w:vAlign w:val="center"/>
          </w:tcPr>
          <w:p w14:paraId="0833B7D7" w14:textId="77777777" w:rsidR="00D953B6" w:rsidRPr="005511E3" w:rsidRDefault="00D953B6" w:rsidP="00D953B6">
            <w:pPr>
              <w:pStyle w:val="TableParagraph"/>
              <w:ind w:left="78" w:right="0"/>
              <w:jc w:val="left"/>
              <w:rPr>
                <w:sz w:val="20"/>
                <w:lang w:val="el-GR"/>
              </w:rPr>
            </w:pPr>
            <w:r w:rsidRPr="005511E3">
              <w:rPr>
                <w:color w:val="021142"/>
                <w:sz w:val="20"/>
                <w:lang w:val="el-GR"/>
              </w:rPr>
              <w:t>Προβλέψεις</w:t>
            </w:r>
            <w:r w:rsidRPr="005511E3">
              <w:rPr>
                <w:color w:val="021142"/>
                <w:spacing w:val="-13"/>
                <w:sz w:val="20"/>
                <w:lang w:val="el-GR"/>
              </w:rPr>
              <w:t xml:space="preserve"> </w:t>
            </w:r>
            <w:r w:rsidRPr="005511E3">
              <w:rPr>
                <w:color w:val="021142"/>
                <w:sz w:val="20"/>
                <w:lang w:val="el-GR"/>
              </w:rPr>
              <w:t>προς</w:t>
            </w:r>
            <w:r w:rsidRPr="005511E3">
              <w:rPr>
                <w:color w:val="021142"/>
                <w:spacing w:val="-12"/>
                <w:sz w:val="20"/>
                <w:lang w:val="el-GR"/>
              </w:rPr>
              <w:t xml:space="preserve"> </w:t>
            </w:r>
            <w:r w:rsidRPr="005511E3">
              <w:rPr>
                <w:color w:val="021142"/>
                <w:sz w:val="20"/>
                <w:lang w:val="el-GR"/>
              </w:rPr>
              <w:t>Δάνεια</w:t>
            </w:r>
            <w:r w:rsidRPr="005511E3">
              <w:rPr>
                <w:color w:val="021142"/>
                <w:spacing w:val="-13"/>
                <w:sz w:val="20"/>
                <w:lang w:val="el-GR"/>
              </w:rPr>
              <w:t xml:space="preserve"> </w:t>
            </w:r>
          </w:p>
        </w:tc>
        <w:tc>
          <w:tcPr>
            <w:tcW w:w="2612" w:type="dxa"/>
            <w:vAlign w:val="center"/>
          </w:tcPr>
          <w:p w14:paraId="43205892" w14:textId="7E39E5BF" w:rsidR="00D953B6" w:rsidRPr="003570AB" w:rsidRDefault="00D953B6" w:rsidP="00D953B6">
            <w:pPr>
              <w:pStyle w:val="TableParagraph"/>
              <w:spacing w:before="124"/>
              <w:rPr>
                <w:color w:val="021142"/>
                <w:sz w:val="20"/>
              </w:rPr>
            </w:pPr>
            <w:r w:rsidRPr="003570AB">
              <w:rPr>
                <w:color w:val="021142"/>
                <w:sz w:val="20"/>
                <w:lang w:val="el-GR"/>
              </w:rPr>
              <w:t>0,</w:t>
            </w:r>
            <w:r w:rsidR="00487334" w:rsidRPr="00950E8F">
              <w:rPr>
                <w:color w:val="021142"/>
                <w:sz w:val="20"/>
                <w:lang w:val="el-GR"/>
              </w:rPr>
              <w:t>60</w:t>
            </w:r>
            <w:r w:rsidRPr="003570AB">
              <w:rPr>
                <w:color w:val="021142"/>
                <w:sz w:val="20"/>
              </w:rPr>
              <w:t>%</w:t>
            </w:r>
          </w:p>
        </w:tc>
        <w:tc>
          <w:tcPr>
            <w:tcW w:w="2612" w:type="dxa"/>
            <w:vAlign w:val="center"/>
          </w:tcPr>
          <w:p w14:paraId="4AF2ABFC" w14:textId="75D8C690" w:rsidR="00D953B6" w:rsidRPr="00ED4CDD" w:rsidRDefault="00D953B6" w:rsidP="00D953B6">
            <w:pPr>
              <w:pStyle w:val="TableParagraph"/>
              <w:spacing w:before="124"/>
              <w:rPr>
                <w:color w:val="021142"/>
                <w:sz w:val="20"/>
              </w:rPr>
            </w:pPr>
            <w:r>
              <w:rPr>
                <w:color w:val="021142"/>
                <w:sz w:val="20"/>
                <w:lang w:val="el-GR"/>
              </w:rPr>
              <w:t>0</w:t>
            </w:r>
            <w:r w:rsidR="003964D0">
              <w:rPr>
                <w:color w:val="021142"/>
                <w:sz w:val="20"/>
                <w:lang w:val="en-GB"/>
              </w:rPr>
              <w:t>,</w:t>
            </w:r>
            <w:r>
              <w:rPr>
                <w:color w:val="021142"/>
                <w:sz w:val="20"/>
                <w:lang w:val="el-GR"/>
              </w:rPr>
              <w:t>6</w:t>
            </w:r>
            <w:r>
              <w:rPr>
                <w:color w:val="021142"/>
                <w:sz w:val="20"/>
                <w:lang w:val="en-GB"/>
              </w:rPr>
              <w:t>9</w:t>
            </w:r>
            <w:r>
              <w:rPr>
                <w:color w:val="021142"/>
                <w:sz w:val="20"/>
              </w:rPr>
              <w:t>%</w:t>
            </w:r>
          </w:p>
        </w:tc>
      </w:tr>
      <w:tr w:rsidR="00D953B6" w14:paraId="2C96BFEA" w14:textId="77777777" w:rsidTr="007E16AF">
        <w:trPr>
          <w:trHeight w:hRule="exact" w:val="454"/>
        </w:trPr>
        <w:tc>
          <w:tcPr>
            <w:tcW w:w="5232" w:type="dxa"/>
            <w:vAlign w:val="center"/>
          </w:tcPr>
          <w:p w14:paraId="16040E99" w14:textId="77777777" w:rsidR="00D953B6" w:rsidRPr="00E13917" w:rsidRDefault="00D953B6" w:rsidP="00D953B6">
            <w:pPr>
              <w:pStyle w:val="TableParagraph"/>
              <w:ind w:left="78" w:right="0"/>
              <w:jc w:val="left"/>
              <w:rPr>
                <w:color w:val="021142"/>
                <w:sz w:val="20"/>
                <w:lang w:val="el-GR"/>
              </w:rPr>
            </w:pPr>
            <w:r>
              <w:rPr>
                <w:color w:val="021142"/>
                <w:sz w:val="20"/>
                <w:lang w:val="el-GR"/>
              </w:rPr>
              <w:t xml:space="preserve">Απόδοση Ενσώματων Ιδίων Κεφαλαίων </w:t>
            </w:r>
          </w:p>
        </w:tc>
        <w:tc>
          <w:tcPr>
            <w:tcW w:w="2612" w:type="dxa"/>
            <w:vAlign w:val="center"/>
          </w:tcPr>
          <w:p w14:paraId="34B0AF57" w14:textId="2D5347FB" w:rsidR="00D953B6" w:rsidRPr="003570AB" w:rsidRDefault="00D953B6" w:rsidP="00D953B6">
            <w:pPr>
              <w:pStyle w:val="TableParagraph"/>
              <w:spacing w:before="124"/>
              <w:rPr>
                <w:color w:val="021142"/>
                <w:sz w:val="20"/>
              </w:rPr>
            </w:pPr>
            <w:r w:rsidRPr="003570AB">
              <w:rPr>
                <w:color w:val="021142"/>
                <w:sz w:val="20"/>
                <w:lang w:val="el-GR"/>
              </w:rPr>
              <w:t>16,</w:t>
            </w:r>
            <w:r w:rsidR="00487334" w:rsidRPr="00950E8F">
              <w:rPr>
                <w:color w:val="021142"/>
                <w:sz w:val="20"/>
                <w:lang w:val="el-GR"/>
              </w:rPr>
              <w:t>6</w:t>
            </w:r>
            <w:r w:rsidRPr="003570AB">
              <w:rPr>
                <w:color w:val="021142"/>
                <w:sz w:val="20"/>
              </w:rPr>
              <w:t>%</w:t>
            </w:r>
          </w:p>
        </w:tc>
        <w:tc>
          <w:tcPr>
            <w:tcW w:w="2612" w:type="dxa"/>
            <w:vAlign w:val="center"/>
          </w:tcPr>
          <w:p w14:paraId="79437970" w14:textId="4601C5C0" w:rsidR="00D953B6" w:rsidRPr="00ED4CDD" w:rsidRDefault="00D953B6" w:rsidP="00D953B6">
            <w:pPr>
              <w:pStyle w:val="TableParagraph"/>
              <w:spacing w:before="124"/>
              <w:rPr>
                <w:color w:val="021142"/>
                <w:sz w:val="20"/>
              </w:rPr>
            </w:pPr>
            <w:r>
              <w:rPr>
                <w:color w:val="021142"/>
                <w:sz w:val="20"/>
                <w:lang w:val="el-GR"/>
              </w:rPr>
              <w:t>1</w:t>
            </w:r>
            <w:r>
              <w:rPr>
                <w:color w:val="021142"/>
                <w:sz w:val="20"/>
                <w:lang w:val="en-GB"/>
              </w:rPr>
              <w:t>8</w:t>
            </w:r>
            <w:r w:rsidR="003964D0">
              <w:rPr>
                <w:color w:val="021142"/>
                <w:sz w:val="20"/>
                <w:lang w:val="en-GB"/>
              </w:rPr>
              <w:t>,</w:t>
            </w:r>
            <w:r>
              <w:rPr>
                <w:color w:val="021142"/>
                <w:sz w:val="20"/>
                <w:lang w:val="en-GB"/>
              </w:rPr>
              <w:t>5</w:t>
            </w:r>
            <w:r>
              <w:rPr>
                <w:color w:val="021142"/>
                <w:sz w:val="20"/>
              </w:rPr>
              <w:t>%</w:t>
            </w:r>
          </w:p>
        </w:tc>
      </w:tr>
      <w:tr w:rsidR="00D953B6" w:rsidRPr="003A0464" w14:paraId="75DB6934" w14:textId="77777777" w:rsidTr="007E16AF">
        <w:trPr>
          <w:trHeight w:hRule="exact" w:val="454"/>
        </w:trPr>
        <w:tc>
          <w:tcPr>
            <w:tcW w:w="5232" w:type="dxa"/>
            <w:vAlign w:val="center"/>
          </w:tcPr>
          <w:p w14:paraId="2E4D4229" w14:textId="77777777" w:rsidR="00D953B6" w:rsidRPr="00D615CE" w:rsidRDefault="00D953B6" w:rsidP="00D953B6">
            <w:pPr>
              <w:pStyle w:val="TableParagraph"/>
              <w:ind w:left="78" w:right="0"/>
              <w:jc w:val="left"/>
              <w:rPr>
                <w:color w:val="021142"/>
                <w:sz w:val="20"/>
              </w:rPr>
            </w:pPr>
            <w:r>
              <w:rPr>
                <w:color w:val="021142"/>
                <w:sz w:val="20"/>
                <w:lang w:val="el-GR"/>
              </w:rPr>
              <w:t xml:space="preserve">Κέρδη ανά Μετοχή </w:t>
            </w:r>
            <w:r>
              <w:rPr>
                <w:color w:val="021142"/>
                <w:sz w:val="20"/>
              </w:rPr>
              <w:t>(€)</w:t>
            </w:r>
          </w:p>
        </w:tc>
        <w:tc>
          <w:tcPr>
            <w:tcW w:w="2612" w:type="dxa"/>
            <w:vAlign w:val="center"/>
          </w:tcPr>
          <w:p w14:paraId="64EFE3AD" w14:textId="26094CFC" w:rsidR="00D953B6" w:rsidRPr="003570AB" w:rsidRDefault="00D953B6" w:rsidP="00D953B6">
            <w:pPr>
              <w:pStyle w:val="TableParagraph"/>
              <w:spacing w:before="124"/>
              <w:rPr>
                <w:color w:val="021142"/>
                <w:sz w:val="20"/>
                <w:lang w:val="el-GR"/>
              </w:rPr>
            </w:pPr>
            <w:r w:rsidRPr="003570AB">
              <w:rPr>
                <w:color w:val="021142"/>
                <w:sz w:val="20"/>
                <w:lang w:val="el-GR"/>
              </w:rPr>
              <w:t>0,</w:t>
            </w:r>
            <w:r w:rsidR="00487334" w:rsidRPr="00950E8F">
              <w:rPr>
                <w:color w:val="021142"/>
                <w:sz w:val="20"/>
                <w:lang w:val="el-GR"/>
              </w:rPr>
              <w:t>1</w:t>
            </w:r>
            <w:r w:rsidRPr="003570AB">
              <w:rPr>
                <w:color w:val="021142"/>
                <w:sz w:val="20"/>
                <w:lang w:val="el-GR"/>
              </w:rPr>
              <w:t>9</w:t>
            </w:r>
          </w:p>
        </w:tc>
        <w:tc>
          <w:tcPr>
            <w:tcW w:w="2612" w:type="dxa"/>
            <w:vAlign w:val="center"/>
          </w:tcPr>
          <w:p w14:paraId="61FE5A4F" w14:textId="32A84E50" w:rsidR="00D953B6" w:rsidRPr="00771107" w:rsidRDefault="00D953B6" w:rsidP="00D953B6">
            <w:pPr>
              <w:pStyle w:val="TableParagraph"/>
              <w:spacing w:before="124"/>
              <w:rPr>
                <w:color w:val="021142"/>
                <w:sz w:val="20"/>
                <w:lang w:val="el-GR"/>
              </w:rPr>
            </w:pPr>
            <w:r>
              <w:rPr>
                <w:color w:val="021142"/>
                <w:sz w:val="20"/>
                <w:lang w:val="el-GR"/>
              </w:rPr>
              <w:t>0</w:t>
            </w:r>
            <w:r w:rsidR="003964D0">
              <w:rPr>
                <w:color w:val="021142"/>
                <w:sz w:val="20"/>
                <w:lang w:val="en-GB"/>
              </w:rPr>
              <w:t>,</w:t>
            </w:r>
            <w:r>
              <w:rPr>
                <w:color w:val="021142"/>
                <w:sz w:val="20"/>
                <w:lang w:val="en-GB"/>
              </w:rPr>
              <w:t>2</w:t>
            </w:r>
            <w:r>
              <w:rPr>
                <w:color w:val="021142"/>
                <w:sz w:val="20"/>
                <w:lang w:val="el-GR"/>
              </w:rPr>
              <w:t>0</w:t>
            </w:r>
          </w:p>
        </w:tc>
      </w:tr>
      <w:tr w:rsidR="00D953B6" w:rsidRPr="00ED4CDD" w14:paraId="5F8970F6" w14:textId="77777777" w:rsidTr="007E16AF">
        <w:trPr>
          <w:trHeight w:hRule="exact" w:val="454"/>
        </w:trPr>
        <w:tc>
          <w:tcPr>
            <w:tcW w:w="5232" w:type="dxa"/>
            <w:vAlign w:val="center"/>
          </w:tcPr>
          <w:p w14:paraId="7D5FEE4B" w14:textId="7E75E3D2" w:rsidR="00D953B6" w:rsidRPr="00771107" w:rsidRDefault="00D953B6" w:rsidP="00D953B6">
            <w:pPr>
              <w:pStyle w:val="TableParagraph"/>
              <w:ind w:left="78" w:right="0"/>
              <w:jc w:val="left"/>
              <w:rPr>
                <w:sz w:val="20"/>
                <w:lang w:val="el-GR"/>
              </w:rPr>
            </w:pPr>
            <w:r>
              <w:rPr>
                <w:color w:val="021142"/>
                <w:sz w:val="20"/>
              </w:rPr>
              <w:t>CET</w:t>
            </w:r>
            <w:r w:rsidRPr="00771107">
              <w:rPr>
                <w:color w:val="021142"/>
                <w:sz w:val="20"/>
                <w:lang w:val="el-GR"/>
              </w:rPr>
              <w:t xml:space="preserve">1 </w:t>
            </w:r>
          </w:p>
        </w:tc>
        <w:tc>
          <w:tcPr>
            <w:tcW w:w="2612" w:type="dxa"/>
            <w:vAlign w:val="center"/>
          </w:tcPr>
          <w:p w14:paraId="64459D91" w14:textId="367268DA" w:rsidR="00D953B6" w:rsidRPr="003570AB" w:rsidRDefault="00D953B6" w:rsidP="00D953B6">
            <w:pPr>
              <w:pStyle w:val="TableParagraph"/>
              <w:spacing w:before="124"/>
              <w:rPr>
                <w:color w:val="021142"/>
                <w:sz w:val="20"/>
                <w:lang w:val="el-GR"/>
              </w:rPr>
            </w:pPr>
            <w:r w:rsidRPr="003570AB">
              <w:rPr>
                <w:color w:val="021142"/>
                <w:sz w:val="20"/>
                <w:lang w:val="el-GR"/>
              </w:rPr>
              <w:t>15,5</w:t>
            </w:r>
            <w:r w:rsidRPr="003570AB">
              <w:rPr>
                <w:color w:val="021142"/>
                <w:sz w:val="20"/>
              </w:rPr>
              <w:t>%</w:t>
            </w:r>
            <w:r w:rsidR="00EC0963" w:rsidRPr="00376337">
              <w:rPr>
                <w:color w:val="021142"/>
                <w:sz w:val="20"/>
                <w:vertAlign w:val="superscript"/>
              </w:rPr>
              <w:t>6</w:t>
            </w:r>
          </w:p>
        </w:tc>
        <w:tc>
          <w:tcPr>
            <w:tcW w:w="2612" w:type="dxa"/>
            <w:vAlign w:val="center"/>
          </w:tcPr>
          <w:p w14:paraId="5DBABA49" w14:textId="160A7A2B" w:rsidR="00D953B6" w:rsidRPr="00ED4CDD" w:rsidRDefault="009226BA" w:rsidP="00D953B6">
            <w:pPr>
              <w:pStyle w:val="TableParagraph"/>
              <w:spacing w:before="124"/>
              <w:rPr>
                <w:color w:val="021142"/>
                <w:sz w:val="20"/>
              </w:rPr>
            </w:pPr>
            <w:r>
              <w:rPr>
                <w:color w:val="021142"/>
                <w:sz w:val="20"/>
                <w:lang w:val="en-GB"/>
              </w:rPr>
              <w:t>15</w:t>
            </w:r>
            <w:r w:rsidR="003964D0">
              <w:rPr>
                <w:color w:val="021142"/>
                <w:sz w:val="20"/>
                <w:lang w:val="en-GB"/>
              </w:rPr>
              <w:t>,</w:t>
            </w:r>
            <w:r>
              <w:rPr>
                <w:color w:val="021142"/>
                <w:sz w:val="20"/>
                <w:lang w:val="en-GB"/>
              </w:rPr>
              <w:t>6</w:t>
            </w:r>
            <w:r w:rsidR="00165405">
              <w:rPr>
                <w:color w:val="021142"/>
                <w:sz w:val="20"/>
                <w:lang w:val="en-GB"/>
              </w:rPr>
              <w:t>%</w:t>
            </w:r>
          </w:p>
        </w:tc>
      </w:tr>
    </w:tbl>
    <w:p w14:paraId="1344EB4B" w14:textId="77777777" w:rsidR="00852D18" w:rsidRDefault="00852D18">
      <w:pPr>
        <w:rPr>
          <w:sz w:val="20"/>
          <w:lang w:val="el-GR"/>
        </w:rPr>
      </w:pPr>
    </w:p>
    <w:p w14:paraId="4F97D596" w14:textId="7F05D9D2" w:rsidR="003E2E8D" w:rsidRDefault="003E2E8D" w:rsidP="00090C65">
      <w:pPr>
        <w:ind w:right="340"/>
        <w:jc w:val="both"/>
        <w:rPr>
          <w:color w:val="021142"/>
          <w:sz w:val="14"/>
          <w:szCs w:val="14"/>
          <w:lang w:val="en-GB"/>
        </w:rPr>
      </w:pPr>
    </w:p>
    <w:p w14:paraId="4AE9D311" w14:textId="77777777" w:rsidR="00B36593" w:rsidRDefault="00B36593" w:rsidP="00090C65">
      <w:pPr>
        <w:ind w:right="340"/>
        <w:jc w:val="both"/>
        <w:rPr>
          <w:color w:val="021142"/>
          <w:sz w:val="14"/>
          <w:szCs w:val="14"/>
          <w:lang w:val="en-GB"/>
        </w:rPr>
      </w:pPr>
    </w:p>
    <w:p w14:paraId="09223A9A" w14:textId="77777777" w:rsidR="00030208" w:rsidRDefault="00030208" w:rsidP="00090C65">
      <w:pPr>
        <w:ind w:right="340"/>
        <w:jc w:val="both"/>
        <w:rPr>
          <w:color w:val="021142"/>
          <w:sz w:val="14"/>
          <w:szCs w:val="14"/>
          <w:lang w:val="en-GB"/>
        </w:rPr>
      </w:pPr>
    </w:p>
    <w:p w14:paraId="7D2A35A0" w14:textId="77777777" w:rsidR="00030208" w:rsidRDefault="00030208" w:rsidP="00090C65">
      <w:pPr>
        <w:ind w:right="340"/>
        <w:jc w:val="both"/>
        <w:rPr>
          <w:color w:val="021142"/>
          <w:sz w:val="14"/>
          <w:szCs w:val="14"/>
          <w:lang w:val="en-GB"/>
        </w:rPr>
      </w:pPr>
    </w:p>
    <w:p w14:paraId="6564E1D0" w14:textId="77777777" w:rsidR="006F607C" w:rsidRDefault="006F607C" w:rsidP="00090C65">
      <w:pPr>
        <w:ind w:right="340"/>
        <w:jc w:val="both"/>
        <w:rPr>
          <w:color w:val="021142"/>
          <w:sz w:val="14"/>
          <w:szCs w:val="14"/>
          <w:lang w:val="en-GB"/>
        </w:rPr>
      </w:pPr>
    </w:p>
    <w:p w14:paraId="7C3A4C45" w14:textId="77777777" w:rsidR="006F607C" w:rsidRDefault="006F607C" w:rsidP="00090C65">
      <w:pPr>
        <w:ind w:right="340"/>
        <w:jc w:val="both"/>
        <w:rPr>
          <w:color w:val="021142"/>
          <w:sz w:val="14"/>
          <w:szCs w:val="14"/>
          <w:lang w:val="en-GB"/>
        </w:rPr>
      </w:pPr>
    </w:p>
    <w:p w14:paraId="31F2E917" w14:textId="77777777" w:rsidR="006F607C" w:rsidRDefault="006F607C" w:rsidP="00090C65">
      <w:pPr>
        <w:ind w:right="340"/>
        <w:jc w:val="both"/>
        <w:rPr>
          <w:color w:val="021142"/>
          <w:sz w:val="14"/>
          <w:szCs w:val="14"/>
          <w:lang w:val="en-GB"/>
        </w:rPr>
      </w:pPr>
    </w:p>
    <w:p w14:paraId="0983440C" w14:textId="77777777" w:rsidR="00435D86" w:rsidRDefault="00435D86" w:rsidP="00090C65">
      <w:pPr>
        <w:ind w:right="340"/>
        <w:jc w:val="both"/>
        <w:rPr>
          <w:color w:val="021142"/>
          <w:sz w:val="14"/>
          <w:szCs w:val="14"/>
          <w:lang w:val="en-GB"/>
        </w:rPr>
      </w:pPr>
    </w:p>
    <w:p w14:paraId="368EE7E3" w14:textId="77777777" w:rsidR="00435D86" w:rsidRDefault="00435D86" w:rsidP="00090C65">
      <w:pPr>
        <w:ind w:right="340"/>
        <w:jc w:val="both"/>
        <w:rPr>
          <w:color w:val="021142"/>
          <w:sz w:val="14"/>
          <w:szCs w:val="14"/>
          <w:lang w:val="en-GB"/>
        </w:rPr>
      </w:pPr>
    </w:p>
    <w:p w14:paraId="1BD514EC" w14:textId="77777777" w:rsidR="00435D86" w:rsidRDefault="00435D86" w:rsidP="00090C65">
      <w:pPr>
        <w:ind w:right="340"/>
        <w:jc w:val="both"/>
        <w:rPr>
          <w:color w:val="021142"/>
          <w:sz w:val="14"/>
          <w:szCs w:val="14"/>
          <w:lang w:val="en-GB"/>
        </w:rPr>
      </w:pPr>
    </w:p>
    <w:p w14:paraId="34D6E224" w14:textId="77777777" w:rsidR="00435D86" w:rsidRDefault="00435D86" w:rsidP="00090C65">
      <w:pPr>
        <w:ind w:right="340"/>
        <w:jc w:val="both"/>
        <w:rPr>
          <w:color w:val="021142"/>
          <w:sz w:val="14"/>
          <w:szCs w:val="14"/>
          <w:lang w:val="en-GB"/>
        </w:rPr>
      </w:pPr>
    </w:p>
    <w:p w14:paraId="66DAD26D" w14:textId="77777777" w:rsidR="00435D86" w:rsidRDefault="00435D86" w:rsidP="00090C65">
      <w:pPr>
        <w:ind w:right="340"/>
        <w:jc w:val="both"/>
        <w:rPr>
          <w:color w:val="021142"/>
          <w:sz w:val="14"/>
          <w:szCs w:val="14"/>
          <w:lang w:val="en-GB"/>
        </w:rPr>
      </w:pPr>
    </w:p>
    <w:p w14:paraId="4B6CF71A" w14:textId="77777777" w:rsidR="00435D86" w:rsidRDefault="00435D86" w:rsidP="00090C65">
      <w:pPr>
        <w:ind w:right="340"/>
        <w:jc w:val="both"/>
        <w:rPr>
          <w:color w:val="021142"/>
          <w:sz w:val="14"/>
          <w:szCs w:val="14"/>
          <w:lang w:val="en-GB"/>
        </w:rPr>
      </w:pPr>
    </w:p>
    <w:p w14:paraId="17BEC565" w14:textId="77777777" w:rsidR="00852D18" w:rsidRDefault="001E705B">
      <w:pPr>
        <w:pStyle w:val="BodyText"/>
        <w:ind w:left="260"/>
        <w:rPr>
          <w:sz w:val="20"/>
        </w:rPr>
      </w:pPr>
      <w:r>
        <w:rPr>
          <w:noProof/>
          <w:sz w:val="20"/>
          <w:lang w:val="el-GR" w:eastAsia="el-GR"/>
        </w:rPr>
        <mc:AlternateContent>
          <mc:Choice Requires="wps">
            <w:drawing>
              <wp:inline distT="0" distB="0" distL="0" distR="0" wp14:anchorId="66DDEFCF" wp14:editId="6B45C3A5">
                <wp:extent cx="6645910" cy="632460"/>
                <wp:effectExtent l="0" t="0" r="0" b="0"/>
                <wp:docPr id="54"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63246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5BCB6" w14:textId="77777777" w:rsidR="00D576A5" w:rsidRPr="005511E3" w:rsidRDefault="00D576A5">
                            <w:pPr>
                              <w:spacing w:before="111" w:line="235" w:lineRule="auto"/>
                              <w:ind w:left="160" w:right="621"/>
                              <w:rPr>
                                <w:b/>
                                <w:color w:val="000000"/>
                                <w:sz w:val="32"/>
                                <w:lang w:val="el-GR"/>
                              </w:rPr>
                            </w:pPr>
                            <w:r w:rsidRPr="005511E3">
                              <w:rPr>
                                <w:b/>
                                <w:color w:val="021142"/>
                                <w:sz w:val="32"/>
                                <w:lang w:val="el-GR"/>
                              </w:rPr>
                              <w:t>Ορολογία</w:t>
                            </w:r>
                            <w:r w:rsidRPr="005511E3">
                              <w:rPr>
                                <w:b/>
                                <w:color w:val="021142"/>
                                <w:spacing w:val="-17"/>
                                <w:sz w:val="32"/>
                                <w:lang w:val="el-GR"/>
                              </w:rPr>
                              <w:t xml:space="preserve"> </w:t>
                            </w:r>
                            <w:r w:rsidRPr="005511E3">
                              <w:rPr>
                                <w:b/>
                                <w:color w:val="021142"/>
                                <w:sz w:val="32"/>
                                <w:lang w:val="el-GR"/>
                              </w:rPr>
                              <w:t>–</w:t>
                            </w:r>
                            <w:r w:rsidRPr="005511E3">
                              <w:rPr>
                                <w:b/>
                                <w:color w:val="021142"/>
                                <w:spacing w:val="-17"/>
                                <w:sz w:val="32"/>
                                <w:lang w:val="el-GR"/>
                              </w:rPr>
                              <w:t xml:space="preserve"> </w:t>
                            </w:r>
                            <w:r w:rsidRPr="005511E3">
                              <w:rPr>
                                <w:b/>
                                <w:color w:val="021142"/>
                                <w:sz w:val="32"/>
                                <w:lang w:val="el-GR"/>
                              </w:rPr>
                              <w:t>Ορισμός</w:t>
                            </w:r>
                            <w:r w:rsidRPr="005511E3">
                              <w:rPr>
                                <w:b/>
                                <w:color w:val="021142"/>
                                <w:spacing w:val="-17"/>
                                <w:sz w:val="32"/>
                                <w:lang w:val="el-GR"/>
                              </w:rPr>
                              <w:t xml:space="preserve"> </w:t>
                            </w:r>
                            <w:r w:rsidRPr="005511E3">
                              <w:rPr>
                                <w:b/>
                                <w:color w:val="021142"/>
                                <w:sz w:val="32"/>
                                <w:lang w:val="el-GR"/>
                              </w:rPr>
                              <w:t>Εναλλακτικών</w:t>
                            </w:r>
                            <w:r w:rsidRPr="005511E3">
                              <w:rPr>
                                <w:b/>
                                <w:color w:val="021142"/>
                                <w:spacing w:val="-16"/>
                                <w:sz w:val="32"/>
                                <w:lang w:val="el-GR"/>
                              </w:rPr>
                              <w:t xml:space="preserve"> </w:t>
                            </w:r>
                            <w:r w:rsidRPr="005511E3">
                              <w:rPr>
                                <w:b/>
                                <w:color w:val="021142"/>
                                <w:sz w:val="32"/>
                                <w:lang w:val="el-GR"/>
                              </w:rPr>
                              <w:t>Δεικτών</w:t>
                            </w:r>
                            <w:r w:rsidRPr="005511E3">
                              <w:rPr>
                                <w:b/>
                                <w:color w:val="021142"/>
                                <w:spacing w:val="-17"/>
                                <w:sz w:val="32"/>
                                <w:lang w:val="el-GR"/>
                              </w:rPr>
                              <w:t xml:space="preserve"> </w:t>
                            </w:r>
                            <w:r w:rsidRPr="005511E3">
                              <w:rPr>
                                <w:b/>
                                <w:color w:val="021142"/>
                                <w:sz w:val="32"/>
                                <w:lang w:val="el-GR"/>
                              </w:rPr>
                              <w:t>Μέτρησης</w:t>
                            </w:r>
                            <w:r w:rsidRPr="005511E3">
                              <w:rPr>
                                <w:b/>
                                <w:color w:val="021142"/>
                                <w:spacing w:val="-17"/>
                                <w:sz w:val="32"/>
                                <w:lang w:val="el-GR"/>
                              </w:rPr>
                              <w:t xml:space="preserve"> </w:t>
                            </w:r>
                            <w:r w:rsidRPr="005511E3">
                              <w:rPr>
                                <w:b/>
                                <w:color w:val="021142"/>
                                <w:sz w:val="32"/>
                                <w:lang w:val="el-GR"/>
                              </w:rPr>
                              <w:t>της</w:t>
                            </w:r>
                            <w:r w:rsidRPr="005511E3">
                              <w:rPr>
                                <w:b/>
                                <w:color w:val="021142"/>
                                <w:spacing w:val="-16"/>
                                <w:sz w:val="32"/>
                                <w:lang w:val="el-GR"/>
                              </w:rPr>
                              <w:t xml:space="preserve"> </w:t>
                            </w:r>
                            <w:r w:rsidRPr="005511E3">
                              <w:rPr>
                                <w:b/>
                                <w:color w:val="021142"/>
                                <w:sz w:val="32"/>
                                <w:lang w:val="el-GR"/>
                              </w:rPr>
                              <w:t>Απόδοσης</w:t>
                            </w:r>
                            <w:r w:rsidRPr="005511E3">
                              <w:rPr>
                                <w:b/>
                                <w:color w:val="021142"/>
                                <w:spacing w:val="-74"/>
                                <w:sz w:val="32"/>
                                <w:lang w:val="el-GR"/>
                              </w:rPr>
                              <w:t xml:space="preserve"> </w:t>
                            </w:r>
                            <w:r w:rsidRPr="005511E3">
                              <w:rPr>
                                <w:b/>
                                <w:color w:val="021142"/>
                                <w:sz w:val="32"/>
                                <w:lang w:val="el-GR"/>
                              </w:rPr>
                              <w:t>(ΕΔΜΑ)</w:t>
                            </w:r>
                            <w:r w:rsidRPr="005511E3">
                              <w:rPr>
                                <w:b/>
                                <w:color w:val="021142"/>
                                <w:spacing w:val="-3"/>
                                <w:sz w:val="32"/>
                                <w:lang w:val="el-GR"/>
                              </w:rPr>
                              <w:t xml:space="preserve"> </w:t>
                            </w:r>
                            <w:r w:rsidRPr="005511E3">
                              <w:rPr>
                                <w:b/>
                                <w:color w:val="021142"/>
                                <w:sz w:val="32"/>
                                <w:lang w:val="el-GR"/>
                              </w:rPr>
                              <w:t>και</w:t>
                            </w:r>
                            <w:r w:rsidRPr="005511E3">
                              <w:rPr>
                                <w:b/>
                                <w:color w:val="021142"/>
                                <w:spacing w:val="-2"/>
                                <w:sz w:val="32"/>
                                <w:lang w:val="el-GR"/>
                              </w:rPr>
                              <w:t xml:space="preserve"> </w:t>
                            </w:r>
                            <w:r w:rsidRPr="005511E3">
                              <w:rPr>
                                <w:b/>
                                <w:color w:val="021142"/>
                                <w:sz w:val="32"/>
                                <w:lang w:val="el-GR"/>
                              </w:rPr>
                              <w:t>λοιπών</w:t>
                            </w:r>
                            <w:r w:rsidRPr="005511E3">
                              <w:rPr>
                                <w:b/>
                                <w:color w:val="021142"/>
                                <w:spacing w:val="-3"/>
                                <w:sz w:val="32"/>
                                <w:lang w:val="el-GR"/>
                              </w:rPr>
                              <w:t xml:space="preserve"> </w:t>
                            </w:r>
                            <w:r w:rsidRPr="005511E3">
                              <w:rPr>
                                <w:b/>
                                <w:color w:val="021142"/>
                                <w:sz w:val="32"/>
                                <w:lang w:val="el-GR"/>
                              </w:rPr>
                              <w:t>χρηματοοικονομικών</w:t>
                            </w:r>
                            <w:r w:rsidRPr="005511E3">
                              <w:rPr>
                                <w:b/>
                                <w:color w:val="021142"/>
                                <w:spacing w:val="-2"/>
                                <w:sz w:val="32"/>
                                <w:lang w:val="el-GR"/>
                              </w:rPr>
                              <w:t xml:space="preserve"> </w:t>
                            </w:r>
                            <w:r w:rsidRPr="005511E3">
                              <w:rPr>
                                <w:b/>
                                <w:color w:val="021142"/>
                                <w:sz w:val="32"/>
                                <w:lang w:val="el-GR"/>
                              </w:rPr>
                              <w:t>δεικτών</w:t>
                            </w:r>
                          </w:p>
                        </w:txbxContent>
                      </wps:txbx>
                      <wps:bodyPr rot="0" vert="horz" wrap="square" lIns="0" tIns="0" rIns="0" bIns="0" anchor="t" anchorCtr="0" upright="1">
                        <a:noAutofit/>
                      </wps:bodyPr>
                    </wps:wsp>
                  </a:graphicData>
                </a:graphic>
              </wp:inline>
            </w:drawing>
          </mc:Choice>
          <mc:Fallback>
            <w:pict>
              <v:shape w14:anchorId="66DDEFCF" id="docshape109" o:spid="_x0000_s1032" type="#_x0000_t202" style="width:523.3pt;height: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" fillcolor="#e6e7e8" stroked="f">
                <v:textbox inset="0,0,0,0">
                  <w:txbxContent>
                    <w:p w14:paraId="20F5BCB6" w14:textId="77777777" w:rsidR="00D576A5" w:rsidRPr="005511E3" w:rsidRDefault="00D576A5">
                      <w:pPr>
                        <w:spacing w:before="111" w:line="235" w:lineRule="auto"/>
                        <w:ind w:left="160" w:right="621"/>
                        <w:rPr>
                          <w:b/>
                          <w:color w:val="000000"/>
                          <w:sz w:val="32"/>
                          <w:lang w:val="el-GR"/>
                        </w:rPr>
                      </w:pPr>
                      <w:r w:rsidRPr="005511E3">
                        <w:rPr>
                          <w:b/>
                          <w:color w:val="021142"/>
                          <w:sz w:val="32"/>
                          <w:lang w:val="el-GR"/>
                        </w:rPr>
                        <w:t>Ορολογία</w:t>
                      </w:r>
                      <w:r w:rsidRPr="005511E3">
                        <w:rPr>
                          <w:b/>
                          <w:color w:val="021142"/>
                          <w:spacing w:val="-17"/>
                          <w:sz w:val="32"/>
                          <w:lang w:val="el-GR"/>
                        </w:rPr>
                        <w:t xml:space="preserve"> </w:t>
                      </w:r>
                      <w:r w:rsidRPr="005511E3">
                        <w:rPr>
                          <w:b/>
                          <w:color w:val="021142"/>
                          <w:sz w:val="32"/>
                          <w:lang w:val="el-GR"/>
                        </w:rPr>
                        <w:t>–</w:t>
                      </w:r>
                      <w:r w:rsidRPr="005511E3">
                        <w:rPr>
                          <w:b/>
                          <w:color w:val="021142"/>
                          <w:spacing w:val="-17"/>
                          <w:sz w:val="32"/>
                          <w:lang w:val="el-GR"/>
                        </w:rPr>
                        <w:t xml:space="preserve"> </w:t>
                      </w:r>
                      <w:r w:rsidRPr="005511E3">
                        <w:rPr>
                          <w:b/>
                          <w:color w:val="021142"/>
                          <w:sz w:val="32"/>
                          <w:lang w:val="el-GR"/>
                        </w:rPr>
                        <w:t>Ορισμός</w:t>
                      </w:r>
                      <w:r w:rsidRPr="005511E3">
                        <w:rPr>
                          <w:b/>
                          <w:color w:val="021142"/>
                          <w:spacing w:val="-17"/>
                          <w:sz w:val="32"/>
                          <w:lang w:val="el-GR"/>
                        </w:rPr>
                        <w:t xml:space="preserve"> </w:t>
                      </w:r>
                      <w:r w:rsidRPr="005511E3">
                        <w:rPr>
                          <w:b/>
                          <w:color w:val="021142"/>
                          <w:sz w:val="32"/>
                          <w:lang w:val="el-GR"/>
                        </w:rPr>
                        <w:t>Εναλλακτικών</w:t>
                      </w:r>
                      <w:r w:rsidRPr="005511E3">
                        <w:rPr>
                          <w:b/>
                          <w:color w:val="021142"/>
                          <w:spacing w:val="-16"/>
                          <w:sz w:val="32"/>
                          <w:lang w:val="el-GR"/>
                        </w:rPr>
                        <w:t xml:space="preserve"> </w:t>
                      </w:r>
                      <w:r w:rsidRPr="005511E3">
                        <w:rPr>
                          <w:b/>
                          <w:color w:val="021142"/>
                          <w:sz w:val="32"/>
                          <w:lang w:val="el-GR"/>
                        </w:rPr>
                        <w:t>Δεικτών</w:t>
                      </w:r>
                      <w:r w:rsidRPr="005511E3">
                        <w:rPr>
                          <w:b/>
                          <w:color w:val="021142"/>
                          <w:spacing w:val="-17"/>
                          <w:sz w:val="32"/>
                          <w:lang w:val="el-GR"/>
                        </w:rPr>
                        <w:t xml:space="preserve"> </w:t>
                      </w:r>
                      <w:r w:rsidRPr="005511E3">
                        <w:rPr>
                          <w:b/>
                          <w:color w:val="021142"/>
                          <w:sz w:val="32"/>
                          <w:lang w:val="el-GR"/>
                        </w:rPr>
                        <w:t>Μέτρησης</w:t>
                      </w:r>
                      <w:r w:rsidRPr="005511E3">
                        <w:rPr>
                          <w:b/>
                          <w:color w:val="021142"/>
                          <w:spacing w:val="-17"/>
                          <w:sz w:val="32"/>
                          <w:lang w:val="el-GR"/>
                        </w:rPr>
                        <w:t xml:space="preserve"> </w:t>
                      </w:r>
                      <w:r w:rsidRPr="005511E3">
                        <w:rPr>
                          <w:b/>
                          <w:color w:val="021142"/>
                          <w:sz w:val="32"/>
                          <w:lang w:val="el-GR"/>
                        </w:rPr>
                        <w:t>της</w:t>
                      </w:r>
                      <w:r w:rsidRPr="005511E3">
                        <w:rPr>
                          <w:b/>
                          <w:color w:val="021142"/>
                          <w:spacing w:val="-16"/>
                          <w:sz w:val="32"/>
                          <w:lang w:val="el-GR"/>
                        </w:rPr>
                        <w:t xml:space="preserve"> </w:t>
                      </w:r>
                      <w:r w:rsidRPr="005511E3">
                        <w:rPr>
                          <w:b/>
                          <w:color w:val="021142"/>
                          <w:sz w:val="32"/>
                          <w:lang w:val="el-GR"/>
                        </w:rPr>
                        <w:t>Απόδοσης</w:t>
                      </w:r>
                      <w:r w:rsidRPr="005511E3">
                        <w:rPr>
                          <w:b/>
                          <w:color w:val="021142"/>
                          <w:spacing w:val="-74"/>
                          <w:sz w:val="32"/>
                          <w:lang w:val="el-GR"/>
                        </w:rPr>
                        <w:t xml:space="preserve"> </w:t>
                      </w:r>
                      <w:r w:rsidRPr="005511E3">
                        <w:rPr>
                          <w:b/>
                          <w:color w:val="021142"/>
                          <w:sz w:val="32"/>
                          <w:lang w:val="el-GR"/>
                        </w:rPr>
                        <w:t>(ΕΔΜΑ)</w:t>
                      </w:r>
                      <w:r w:rsidRPr="005511E3">
                        <w:rPr>
                          <w:b/>
                          <w:color w:val="021142"/>
                          <w:spacing w:val="-3"/>
                          <w:sz w:val="32"/>
                          <w:lang w:val="el-GR"/>
                        </w:rPr>
                        <w:t xml:space="preserve"> </w:t>
                      </w:r>
                      <w:r w:rsidRPr="005511E3">
                        <w:rPr>
                          <w:b/>
                          <w:color w:val="021142"/>
                          <w:sz w:val="32"/>
                          <w:lang w:val="el-GR"/>
                        </w:rPr>
                        <w:t>και</w:t>
                      </w:r>
                      <w:r w:rsidRPr="005511E3">
                        <w:rPr>
                          <w:b/>
                          <w:color w:val="021142"/>
                          <w:spacing w:val="-2"/>
                          <w:sz w:val="32"/>
                          <w:lang w:val="el-GR"/>
                        </w:rPr>
                        <w:t xml:space="preserve"> </w:t>
                      </w:r>
                      <w:r w:rsidRPr="005511E3">
                        <w:rPr>
                          <w:b/>
                          <w:color w:val="021142"/>
                          <w:sz w:val="32"/>
                          <w:lang w:val="el-GR"/>
                        </w:rPr>
                        <w:t>λοιπών</w:t>
                      </w:r>
                      <w:r w:rsidRPr="005511E3">
                        <w:rPr>
                          <w:b/>
                          <w:color w:val="021142"/>
                          <w:spacing w:val="-3"/>
                          <w:sz w:val="32"/>
                          <w:lang w:val="el-GR"/>
                        </w:rPr>
                        <w:t xml:space="preserve"> </w:t>
                      </w:r>
                      <w:r w:rsidRPr="005511E3">
                        <w:rPr>
                          <w:b/>
                          <w:color w:val="021142"/>
                          <w:sz w:val="32"/>
                          <w:lang w:val="el-GR"/>
                        </w:rPr>
                        <w:t>χρηματοοικονομικών</w:t>
                      </w:r>
                      <w:r w:rsidRPr="005511E3">
                        <w:rPr>
                          <w:b/>
                          <w:color w:val="021142"/>
                          <w:spacing w:val="-2"/>
                          <w:sz w:val="32"/>
                          <w:lang w:val="el-GR"/>
                        </w:rPr>
                        <w:t xml:space="preserve"> </w:t>
                      </w:r>
                      <w:r w:rsidRPr="005511E3">
                        <w:rPr>
                          <w:b/>
                          <w:color w:val="021142"/>
                          <w:sz w:val="32"/>
                          <w:lang w:val="el-GR"/>
                        </w:rPr>
                        <w:t>δεικτών</w:t>
                      </w:r>
                    </w:p>
                  </w:txbxContent>
                </v:textbox>
                <w10:anchorlock/>
              </v:shape>
            </w:pict>
          </mc:Fallback>
        </mc:AlternateContent>
      </w:r>
    </w:p>
    <w:p w14:paraId="0CA78178" w14:textId="77777777" w:rsidR="00852D18" w:rsidRDefault="00852D18">
      <w:pPr>
        <w:pStyle w:val="BodyText"/>
        <w:spacing w:before="6"/>
        <w:rPr>
          <w:b/>
          <w:sz w:val="11"/>
        </w:rPr>
      </w:pPr>
    </w:p>
    <w:p w14:paraId="111EA0E7" w14:textId="77777777" w:rsidR="00681CCA" w:rsidRPr="00681CCA" w:rsidRDefault="00681CCA" w:rsidP="00681CCA">
      <w:pPr>
        <w:pStyle w:val="ListParagraph"/>
        <w:tabs>
          <w:tab w:val="left" w:pos="402"/>
        </w:tabs>
        <w:spacing w:before="100" w:line="242" w:lineRule="auto"/>
        <w:rPr>
          <w:lang w:val="el-GR"/>
        </w:rPr>
      </w:pPr>
    </w:p>
    <w:p w14:paraId="5F0F7C42" w14:textId="77777777" w:rsidR="00852D18" w:rsidRPr="005511E3" w:rsidRDefault="005511E3" w:rsidP="0063742F">
      <w:pPr>
        <w:pStyle w:val="ListParagraph"/>
        <w:numPr>
          <w:ilvl w:val="0"/>
          <w:numId w:val="19"/>
        </w:numPr>
        <w:tabs>
          <w:tab w:val="left" w:pos="402"/>
        </w:tabs>
        <w:spacing w:before="100" w:line="242" w:lineRule="auto"/>
        <w:rPr>
          <w:lang w:val="el-GR"/>
        </w:rPr>
      </w:pPr>
      <w:r w:rsidRPr="005511E3">
        <w:rPr>
          <w:b/>
          <w:color w:val="021142"/>
          <w:spacing w:val="-1"/>
          <w:lang w:val="el-GR"/>
        </w:rPr>
        <w:t>Απόδοση</w:t>
      </w:r>
      <w:r w:rsidRPr="005511E3">
        <w:rPr>
          <w:b/>
          <w:color w:val="021142"/>
          <w:spacing w:val="-12"/>
          <w:lang w:val="el-GR"/>
        </w:rPr>
        <w:t xml:space="preserve"> </w:t>
      </w:r>
      <w:r w:rsidRPr="005511E3">
        <w:rPr>
          <w:b/>
          <w:color w:val="021142"/>
          <w:spacing w:val="-1"/>
          <w:lang w:val="el-GR"/>
        </w:rPr>
        <w:t>Ενσώματων</w:t>
      </w:r>
      <w:r w:rsidRPr="005511E3">
        <w:rPr>
          <w:b/>
          <w:color w:val="021142"/>
          <w:spacing w:val="-12"/>
          <w:lang w:val="el-GR"/>
        </w:rPr>
        <w:t xml:space="preserve"> </w:t>
      </w:r>
      <w:r w:rsidRPr="005511E3">
        <w:rPr>
          <w:b/>
          <w:color w:val="021142"/>
          <w:spacing w:val="-1"/>
          <w:lang w:val="el-GR"/>
        </w:rPr>
        <w:t>Ιδίων</w:t>
      </w:r>
      <w:r w:rsidRPr="005511E3">
        <w:rPr>
          <w:b/>
          <w:color w:val="021142"/>
          <w:spacing w:val="-12"/>
          <w:lang w:val="el-GR"/>
        </w:rPr>
        <w:t xml:space="preserve"> </w:t>
      </w:r>
      <w:r w:rsidRPr="005511E3">
        <w:rPr>
          <w:b/>
          <w:color w:val="021142"/>
          <w:spacing w:val="-1"/>
          <w:lang w:val="el-GR"/>
        </w:rPr>
        <w:t>Κεφαλαίων:</w:t>
      </w:r>
      <w:r w:rsidRPr="005511E3">
        <w:rPr>
          <w:b/>
          <w:color w:val="021142"/>
          <w:spacing w:val="-10"/>
          <w:lang w:val="el-GR"/>
        </w:rPr>
        <w:t xml:space="preserve"> </w:t>
      </w:r>
      <w:r w:rsidRPr="005511E3">
        <w:rPr>
          <w:color w:val="021142"/>
          <w:spacing w:val="-1"/>
          <w:lang w:val="el-GR"/>
        </w:rPr>
        <w:t>Ο</w:t>
      </w:r>
      <w:r w:rsidRPr="005511E3">
        <w:rPr>
          <w:color w:val="021142"/>
          <w:spacing w:val="-12"/>
          <w:lang w:val="el-GR"/>
        </w:rPr>
        <w:t xml:space="preserve"> </w:t>
      </w:r>
      <w:r w:rsidRPr="005511E3">
        <w:rPr>
          <w:color w:val="021142"/>
          <w:spacing w:val="-1"/>
          <w:lang w:val="el-GR"/>
        </w:rPr>
        <w:t>λόγος</w:t>
      </w:r>
      <w:r w:rsidRPr="005511E3">
        <w:rPr>
          <w:color w:val="021142"/>
          <w:spacing w:val="-12"/>
          <w:lang w:val="el-GR"/>
        </w:rPr>
        <w:t xml:space="preserve"> </w:t>
      </w:r>
      <w:r w:rsidRPr="005511E3">
        <w:rPr>
          <w:color w:val="021142"/>
          <w:spacing w:val="-1"/>
          <w:lang w:val="el-GR"/>
        </w:rPr>
        <w:t>των</w:t>
      </w:r>
      <w:r w:rsidRPr="005511E3">
        <w:rPr>
          <w:color w:val="021142"/>
          <w:spacing w:val="-12"/>
          <w:lang w:val="el-GR"/>
        </w:rPr>
        <w:t xml:space="preserve"> </w:t>
      </w:r>
      <w:r w:rsidRPr="005511E3">
        <w:rPr>
          <w:color w:val="021142"/>
          <w:spacing w:val="-1"/>
          <w:lang w:val="el-GR"/>
        </w:rPr>
        <w:t>προσαρμοσμένων</w:t>
      </w:r>
      <w:r w:rsidRPr="005511E3">
        <w:rPr>
          <w:color w:val="021142"/>
          <w:spacing w:val="-12"/>
          <w:lang w:val="el-GR"/>
        </w:rPr>
        <w:t xml:space="preserve"> </w:t>
      </w:r>
      <w:r w:rsidRPr="005511E3">
        <w:rPr>
          <w:color w:val="021142"/>
          <w:spacing w:val="-1"/>
          <w:lang w:val="el-GR"/>
        </w:rPr>
        <w:t>καθαρών</w:t>
      </w:r>
      <w:r w:rsidRPr="005511E3">
        <w:rPr>
          <w:color w:val="021142"/>
          <w:spacing w:val="-12"/>
          <w:lang w:val="el-GR"/>
        </w:rPr>
        <w:t xml:space="preserve"> </w:t>
      </w:r>
      <w:r w:rsidRPr="005511E3">
        <w:rPr>
          <w:color w:val="021142"/>
          <w:lang w:val="el-GR"/>
        </w:rPr>
        <w:t>κερδών</w:t>
      </w:r>
      <w:r w:rsidRPr="005511E3">
        <w:rPr>
          <w:color w:val="021142"/>
          <w:spacing w:val="-12"/>
          <w:lang w:val="el-GR"/>
        </w:rPr>
        <w:t xml:space="preserve"> </w:t>
      </w:r>
      <w:r w:rsidRPr="005511E3">
        <w:rPr>
          <w:color w:val="021142"/>
          <w:lang w:val="el-GR"/>
        </w:rPr>
        <w:t>προς</w:t>
      </w:r>
      <w:r w:rsidRPr="005511E3">
        <w:rPr>
          <w:color w:val="021142"/>
          <w:spacing w:val="-12"/>
          <w:lang w:val="el-GR"/>
        </w:rPr>
        <w:t xml:space="preserve"> </w:t>
      </w:r>
      <w:r w:rsidRPr="005511E3">
        <w:rPr>
          <w:color w:val="021142"/>
          <w:lang w:val="el-GR"/>
        </w:rPr>
        <w:t>την</w:t>
      </w:r>
      <w:r w:rsidRPr="005511E3">
        <w:rPr>
          <w:color w:val="021142"/>
          <w:spacing w:val="-12"/>
          <w:lang w:val="el-GR"/>
        </w:rPr>
        <w:t xml:space="preserve"> </w:t>
      </w:r>
      <w:r w:rsidRPr="005511E3">
        <w:rPr>
          <w:color w:val="021142"/>
          <w:lang w:val="el-GR"/>
        </w:rPr>
        <w:t>Ενσώματη</w:t>
      </w:r>
      <w:r w:rsidRPr="005511E3">
        <w:rPr>
          <w:color w:val="021142"/>
          <w:spacing w:val="-52"/>
          <w:lang w:val="el-GR"/>
        </w:rPr>
        <w:t xml:space="preserve"> </w:t>
      </w:r>
      <w:r w:rsidRPr="005511E3">
        <w:rPr>
          <w:color w:val="021142"/>
          <w:lang w:val="el-GR"/>
        </w:rPr>
        <w:t>Λογιστική</w:t>
      </w:r>
      <w:r w:rsidRPr="005511E3">
        <w:rPr>
          <w:color w:val="021142"/>
          <w:spacing w:val="-1"/>
          <w:lang w:val="el-GR"/>
        </w:rPr>
        <w:t xml:space="preserve"> </w:t>
      </w:r>
      <w:r w:rsidRPr="005511E3">
        <w:rPr>
          <w:color w:val="021142"/>
          <w:lang w:val="el-GR"/>
        </w:rPr>
        <w:t>Αξία (</w:t>
      </w:r>
      <w:r>
        <w:rPr>
          <w:color w:val="021142"/>
        </w:rPr>
        <w:t>Tangible</w:t>
      </w:r>
      <w:r w:rsidRPr="005511E3">
        <w:rPr>
          <w:color w:val="021142"/>
          <w:spacing w:val="-1"/>
          <w:lang w:val="el-GR"/>
        </w:rPr>
        <w:t xml:space="preserve"> </w:t>
      </w:r>
      <w:r>
        <w:rPr>
          <w:color w:val="021142"/>
        </w:rPr>
        <w:t>Book</w:t>
      </w:r>
      <w:r w:rsidRPr="005511E3">
        <w:rPr>
          <w:color w:val="021142"/>
          <w:lang w:val="el-GR"/>
        </w:rPr>
        <w:t xml:space="preserve"> </w:t>
      </w:r>
      <w:r>
        <w:rPr>
          <w:color w:val="021142"/>
        </w:rPr>
        <w:t>Value</w:t>
      </w:r>
      <w:r w:rsidRPr="005511E3">
        <w:rPr>
          <w:color w:val="021142"/>
          <w:lang w:val="el-GR"/>
        </w:rPr>
        <w:t>).</w:t>
      </w:r>
    </w:p>
    <w:p w14:paraId="701ECE9C" w14:textId="77777777" w:rsidR="00852D18" w:rsidRPr="005511E3" w:rsidRDefault="005511E3" w:rsidP="0063742F">
      <w:pPr>
        <w:pStyle w:val="ListParagraph"/>
        <w:numPr>
          <w:ilvl w:val="0"/>
          <w:numId w:val="19"/>
        </w:numPr>
        <w:tabs>
          <w:tab w:val="left" w:pos="422"/>
        </w:tabs>
        <w:spacing w:before="104" w:line="247" w:lineRule="auto"/>
        <w:rPr>
          <w:lang w:val="el-GR"/>
        </w:rPr>
      </w:pPr>
      <w:r w:rsidRPr="005511E3">
        <w:rPr>
          <w:b/>
          <w:color w:val="021142"/>
          <w:lang w:val="el-GR"/>
        </w:rPr>
        <w:t>Βασικά Κέρδη ανά μετοχή (</w:t>
      </w:r>
      <w:r>
        <w:rPr>
          <w:b/>
          <w:color w:val="021142"/>
        </w:rPr>
        <w:t>Basic</w:t>
      </w:r>
      <w:r w:rsidRPr="005511E3">
        <w:rPr>
          <w:b/>
          <w:color w:val="021142"/>
          <w:lang w:val="el-GR"/>
        </w:rPr>
        <w:t xml:space="preserve"> </w:t>
      </w:r>
      <w:r>
        <w:rPr>
          <w:b/>
          <w:color w:val="021142"/>
        </w:rPr>
        <w:t>Earnings</w:t>
      </w:r>
      <w:r w:rsidRPr="005511E3">
        <w:rPr>
          <w:b/>
          <w:color w:val="021142"/>
          <w:lang w:val="el-GR"/>
        </w:rPr>
        <w:t xml:space="preserve"> </w:t>
      </w:r>
      <w:r>
        <w:rPr>
          <w:b/>
          <w:color w:val="021142"/>
        </w:rPr>
        <w:t>per</w:t>
      </w:r>
      <w:r w:rsidRPr="005511E3">
        <w:rPr>
          <w:b/>
          <w:color w:val="021142"/>
          <w:lang w:val="el-GR"/>
        </w:rPr>
        <w:t xml:space="preserve"> </w:t>
      </w:r>
      <w:r>
        <w:rPr>
          <w:b/>
          <w:color w:val="021142"/>
        </w:rPr>
        <w:t>share</w:t>
      </w:r>
      <w:r w:rsidRPr="005511E3">
        <w:rPr>
          <w:b/>
          <w:color w:val="021142"/>
          <w:lang w:val="el-GR"/>
        </w:rPr>
        <w:t xml:space="preserve"> - </w:t>
      </w:r>
      <w:r>
        <w:rPr>
          <w:b/>
          <w:color w:val="021142"/>
        </w:rPr>
        <w:t>EPS</w:t>
      </w:r>
      <w:r w:rsidRPr="005511E3">
        <w:rPr>
          <w:b/>
          <w:color w:val="021142"/>
          <w:lang w:val="el-GR"/>
        </w:rPr>
        <w:t xml:space="preserve">): </w:t>
      </w:r>
      <w:r w:rsidRPr="005511E3">
        <w:rPr>
          <w:color w:val="021142"/>
          <w:lang w:val="el-GR"/>
        </w:rPr>
        <w:t>Ο λόγος των καθαρών κερδών που αναλογούν</w:t>
      </w:r>
      <w:r w:rsidRPr="005511E3">
        <w:rPr>
          <w:color w:val="021142"/>
          <w:spacing w:val="1"/>
          <w:lang w:val="el-GR"/>
        </w:rPr>
        <w:t xml:space="preserve"> </w:t>
      </w:r>
      <w:r w:rsidRPr="005511E3">
        <w:rPr>
          <w:color w:val="021142"/>
          <w:lang w:val="el-GR"/>
        </w:rPr>
        <w:t>στους κατόχους κοινών μετοχών προς το μέσο σταθμισμένο αριθμό κοινών μετοχών σε κυκλοφορία κατά τη</w:t>
      </w:r>
      <w:r w:rsidRPr="005511E3">
        <w:rPr>
          <w:color w:val="021142"/>
          <w:spacing w:val="1"/>
          <w:lang w:val="el-GR"/>
        </w:rPr>
        <w:t xml:space="preserve"> </w:t>
      </w:r>
      <w:r w:rsidRPr="005511E3">
        <w:rPr>
          <w:color w:val="021142"/>
          <w:lang w:val="el-GR"/>
        </w:rPr>
        <w:t>διάρκεια</w:t>
      </w:r>
      <w:r w:rsidRPr="005511E3">
        <w:rPr>
          <w:color w:val="021142"/>
          <w:spacing w:val="-4"/>
          <w:lang w:val="el-GR"/>
        </w:rPr>
        <w:t xml:space="preserve"> </w:t>
      </w:r>
      <w:r w:rsidRPr="005511E3">
        <w:rPr>
          <w:color w:val="021142"/>
          <w:lang w:val="el-GR"/>
        </w:rPr>
        <w:t>της</w:t>
      </w:r>
      <w:r w:rsidRPr="005511E3">
        <w:rPr>
          <w:color w:val="021142"/>
          <w:spacing w:val="-3"/>
          <w:lang w:val="el-GR"/>
        </w:rPr>
        <w:t xml:space="preserve"> </w:t>
      </w:r>
      <w:r w:rsidRPr="005511E3">
        <w:rPr>
          <w:color w:val="021142"/>
          <w:lang w:val="el-GR"/>
        </w:rPr>
        <w:t>περιόδου,</w:t>
      </w:r>
      <w:r w:rsidRPr="005511E3">
        <w:rPr>
          <w:color w:val="021142"/>
          <w:spacing w:val="-3"/>
          <w:lang w:val="el-GR"/>
        </w:rPr>
        <w:t xml:space="preserve"> </w:t>
      </w:r>
      <w:r w:rsidRPr="005511E3">
        <w:rPr>
          <w:color w:val="021142"/>
          <w:lang w:val="el-GR"/>
        </w:rPr>
        <w:t>εξαιρώντας</w:t>
      </w:r>
      <w:r w:rsidRPr="005511E3">
        <w:rPr>
          <w:color w:val="021142"/>
          <w:spacing w:val="-3"/>
          <w:lang w:val="el-GR"/>
        </w:rPr>
        <w:t xml:space="preserve"> </w:t>
      </w:r>
      <w:r w:rsidRPr="005511E3">
        <w:rPr>
          <w:color w:val="021142"/>
          <w:lang w:val="el-GR"/>
        </w:rPr>
        <w:t>το</w:t>
      </w:r>
      <w:r w:rsidRPr="005511E3">
        <w:rPr>
          <w:color w:val="021142"/>
          <w:spacing w:val="-3"/>
          <w:lang w:val="el-GR"/>
        </w:rPr>
        <w:t xml:space="preserve"> </w:t>
      </w:r>
      <w:r w:rsidRPr="005511E3">
        <w:rPr>
          <w:color w:val="021142"/>
          <w:lang w:val="el-GR"/>
        </w:rPr>
        <w:t>μέσο</w:t>
      </w:r>
      <w:r w:rsidRPr="005511E3">
        <w:rPr>
          <w:color w:val="021142"/>
          <w:spacing w:val="-3"/>
          <w:lang w:val="el-GR"/>
        </w:rPr>
        <w:t xml:space="preserve"> </w:t>
      </w:r>
      <w:r w:rsidRPr="005511E3">
        <w:rPr>
          <w:color w:val="021142"/>
          <w:lang w:val="el-GR"/>
        </w:rPr>
        <w:t>αριθμό</w:t>
      </w:r>
      <w:r w:rsidRPr="005511E3">
        <w:rPr>
          <w:color w:val="021142"/>
          <w:spacing w:val="-3"/>
          <w:lang w:val="el-GR"/>
        </w:rPr>
        <w:t xml:space="preserve"> </w:t>
      </w:r>
      <w:r w:rsidRPr="005511E3">
        <w:rPr>
          <w:color w:val="021142"/>
          <w:lang w:val="el-GR"/>
        </w:rPr>
        <w:t>ιδίων</w:t>
      </w:r>
      <w:r w:rsidRPr="005511E3">
        <w:rPr>
          <w:color w:val="021142"/>
          <w:spacing w:val="-3"/>
          <w:lang w:val="el-GR"/>
        </w:rPr>
        <w:t xml:space="preserve"> </w:t>
      </w:r>
      <w:r w:rsidRPr="005511E3">
        <w:rPr>
          <w:color w:val="021142"/>
          <w:lang w:val="el-GR"/>
        </w:rPr>
        <w:t>μετοχών</w:t>
      </w:r>
      <w:r w:rsidRPr="005511E3">
        <w:rPr>
          <w:color w:val="021142"/>
          <w:spacing w:val="-3"/>
          <w:lang w:val="el-GR"/>
        </w:rPr>
        <w:t xml:space="preserve"> </w:t>
      </w:r>
      <w:r w:rsidRPr="005511E3">
        <w:rPr>
          <w:color w:val="021142"/>
          <w:lang w:val="el-GR"/>
        </w:rPr>
        <w:t>κατά</w:t>
      </w:r>
      <w:r w:rsidRPr="005511E3">
        <w:rPr>
          <w:color w:val="021142"/>
          <w:spacing w:val="-3"/>
          <w:lang w:val="el-GR"/>
        </w:rPr>
        <w:t xml:space="preserve"> </w:t>
      </w:r>
      <w:r w:rsidRPr="005511E3">
        <w:rPr>
          <w:color w:val="021142"/>
          <w:lang w:val="el-GR"/>
        </w:rPr>
        <w:t>τη</w:t>
      </w:r>
      <w:r w:rsidRPr="005511E3">
        <w:rPr>
          <w:color w:val="021142"/>
          <w:spacing w:val="-3"/>
          <w:lang w:val="el-GR"/>
        </w:rPr>
        <w:t xml:space="preserve"> </w:t>
      </w:r>
      <w:r w:rsidRPr="005511E3">
        <w:rPr>
          <w:color w:val="021142"/>
          <w:lang w:val="el-GR"/>
        </w:rPr>
        <w:t>διάρκεια</w:t>
      </w:r>
      <w:r w:rsidRPr="005511E3">
        <w:rPr>
          <w:color w:val="021142"/>
          <w:spacing w:val="-3"/>
          <w:lang w:val="el-GR"/>
        </w:rPr>
        <w:t xml:space="preserve"> </w:t>
      </w:r>
      <w:r w:rsidRPr="005511E3">
        <w:rPr>
          <w:color w:val="021142"/>
          <w:lang w:val="el-GR"/>
        </w:rPr>
        <w:t>της</w:t>
      </w:r>
      <w:r w:rsidRPr="005511E3">
        <w:rPr>
          <w:color w:val="021142"/>
          <w:spacing w:val="-3"/>
          <w:lang w:val="el-GR"/>
        </w:rPr>
        <w:t xml:space="preserve"> </w:t>
      </w:r>
      <w:r w:rsidRPr="005511E3">
        <w:rPr>
          <w:color w:val="021142"/>
          <w:lang w:val="el-GR"/>
        </w:rPr>
        <w:t>περιόδου.</w:t>
      </w:r>
    </w:p>
    <w:p w14:paraId="68E92052" w14:textId="77777777" w:rsidR="00852D18" w:rsidRPr="005511E3" w:rsidRDefault="005511E3" w:rsidP="0063742F">
      <w:pPr>
        <w:pStyle w:val="ListParagraph"/>
        <w:numPr>
          <w:ilvl w:val="0"/>
          <w:numId w:val="19"/>
        </w:numPr>
        <w:tabs>
          <w:tab w:val="left" w:pos="427"/>
        </w:tabs>
        <w:spacing w:before="101" w:line="242" w:lineRule="auto"/>
        <w:ind w:right="298"/>
        <w:rPr>
          <w:lang w:val="el-GR"/>
        </w:rPr>
      </w:pPr>
      <w:r w:rsidRPr="005511E3">
        <w:rPr>
          <w:b/>
          <w:color w:val="021142"/>
          <w:lang w:val="el-GR"/>
        </w:rPr>
        <w:t xml:space="preserve">Δείκτης Δανείων προς Καταθέσεις: </w:t>
      </w:r>
      <w:r w:rsidRPr="005511E3">
        <w:rPr>
          <w:color w:val="021142"/>
          <w:lang w:val="el-GR"/>
        </w:rPr>
        <w:t>Ο λόγος των δανείων και απαιτήσεων από πελάτες που επιμετρώνται στο</w:t>
      </w:r>
      <w:r w:rsidRPr="005511E3">
        <w:rPr>
          <w:color w:val="021142"/>
          <w:spacing w:val="1"/>
          <w:lang w:val="el-GR"/>
        </w:rPr>
        <w:t xml:space="preserve"> </w:t>
      </w:r>
      <w:r w:rsidRPr="005511E3">
        <w:rPr>
          <w:color w:val="021142"/>
          <w:lang w:val="el-GR"/>
        </w:rPr>
        <w:t>αποσβέσιμο</w:t>
      </w:r>
      <w:r w:rsidRPr="005511E3">
        <w:rPr>
          <w:color w:val="021142"/>
          <w:spacing w:val="-6"/>
          <w:lang w:val="el-GR"/>
        </w:rPr>
        <w:t xml:space="preserve"> </w:t>
      </w:r>
      <w:r w:rsidRPr="005511E3">
        <w:rPr>
          <w:color w:val="021142"/>
          <w:lang w:val="el-GR"/>
        </w:rPr>
        <w:t>κόστος</w:t>
      </w:r>
      <w:r w:rsidRPr="005511E3">
        <w:rPr>
          <w:color w:val="021142"/>
          <w:spacing w:val="-5"/>
          <w:lang w:val="el-GR"/>
        </w:rPr>
        <w:t xml:space="preserve"> </w:t>
      </w:r>
      <w:r w:rsidRPr="005511E3">
        <w:rPr>
          <w:color w:val="021142"/>
          <w:lang w:val="el-GR"/>
        </w:rPr>
        <w:t>(</w:t>
      </w:r>
      <w:r>
        <w:rPr>
          <w:color w:val="021142"/>
        </w:rPr>
        <w:t>amortised</w:t>
      </w:r>
      <w:r w:rsidRPr="005511E3">
        <w:rPr>
          <w:color w:val="021142"/>
          <w:spacing w:val="-5"/>
          <w:lang w:val="el-GR"/>
        </w:rPr>
        <w:t xml:space="preserve"> </w:t>
      </w:r>
      <w:r>
        <w:rPr>
          <w:color w:val="021142"/>
        </w:rPr>
        <w:t>cost</w:t>
      </w:r>
      <w:r w:rsidRPr="005511E3">
        <w:rPr>
          <w:color w:val="021142"/>
          <w:lang w:val="el-GR"/>
        </w:rPr>
        <w:t>)</w:t>
      </w:r>
      <w:r w:rsidRPr="005511E3">
        <w:rPr>
          <w:color w:val="021142"/>
          <w:spacing w:val="-6"/>
          <w:lang w:val="el-GR"/>
        </w:rPr>
        <w:t xml:space="preserve"> </w:t>
      </w:r>
      <w:r w:rsidRPr="005511E3">
        <w:rPr>
          <w:color w:val="021142"/>
          <w:lang w:val="el-GR"/>
        </w:rPr>
        <w:t>προς</w:t>
      </w:r>
      <w:r w:rsidRPr="005511E3">
        <w:rPr>
          <w:color w:val="021142"/>
          <w:spacing w:val="-5"/>
          <w:lang w:val="el-GR"/>
        </w:rPr>
        <w:t xml:space="preserve"> </w:t>
      </w:r>
      <w:r w:rsidRPr="005511E3">
        <w:rPr>
          <w:color w:val="021142"/>
          <w:lang w:val="el-GR"/>
        </w:rPr>
        <w:t>τις</w:t>
      </w:r>
      <w:r w:rsidRPr="005511E3">
        <w:rPr>
          <w:color w:val="021142"/>
          <w:spacing w:val="-5"/>
          <w:lang w:val="el-GR"/>
        </w:rPr>
        <w:t xml:space="preserve"> </w:t>
      </w:r>
      <w:r w:rsidRPr="005511E3">
        <w:rPr>
          <w:color w:val="021142"/>
          <w:lang w:val="el-GR"/>
        </w:rPr>
        <w:t>υποχρεώσεις</w:t>
      </w:r>
      <w:r w:rsidRPr="005511E3">
        <w:rPr>
          <w:color w:val="021142"/>
          <w:spacing w:val="-6"/>
          <w:lang w:val="el-GR"/>
        </w:rPr>
        <w:t xml:space="preserve"> </w:t>
      </w:r>
      <w:r w:rsidRPr="005511E3">
        <w:rPr>
          <w:color w:val="021142"/>
          <w:lang w:val="el-GR"/>
        </w:rPr>
        <w:t>προς</w:t>
      </w:r>
      <w:r w:rsidRPr="005511E3">
        <w:rPr>
          <w:color w:val="021142"/>
          <w:spacing w:val="-5"/>
          <w:lang w:val="el-GR"/>
        </w:rPr>
        <w:t xml:space="preserve"> </w:t>
      </w:r>
      <w:r w:rsidRPr="005511E3">
        <w:rPr>
          <w:color w:val="021142"/>
          <w:lang w:val="el-GR"/>
        </w:rPr>
        <w:t>πελάτες</w:t>
      </w:r>
      <w:r w:rsidRPr="005511E3">
        <w:rPr>
          <w:color w:val="021142"/>
          <w:spacing w:val="-5"/>
          <w:lang w:val="el-GR"/>
        </w:rPr>
        <w:t xml:space="preserve"> </w:t>
      </w:r>
      <w:r w:rsidRPr="005511E3">
        <w:rPr>
          <w:color w:val="021142"/>
          <w:lang w:val="el-GR"/>
        </w:rPr>
        <w:t>στο</w:t>
      </w:r>
      <w:r w:rsidRPr="005511E3">
        <w:rPr>
          <w:color w:val="021142"/>
          <w:spacing w:val="-6"/>
          <w:lang w:val="el-GR"/>
        </w:rPr>
        <w:t xml:space="preserve"> </w:t>
      </w:r>
      <w:r w:rsidRPr="005511E3">
        <w:rPr>
          <w:color w:val="021142"/>
          <w:lang w:val="el-GR"/>
        </w:rPr>
        <w:t>τέλος</w:t>
      </w:r>
      <w:r w:rsidRPr="005511E3">
        <w:rPr>
          <w:color w:val="021142"/>
          <w:spacing w:val="-5"/>
          <w:lang w:val="el-GR"/>
        </w:rPr>
        <w:t xml:space="preserve"> </w:t>
      </w:r>
      <w:r w:rsidRPr="005511E3">
        <w:rPr>
          <w:color w:val="021142"/>
          <w:lang w:val="el-GR"/>
        </w:rPr>
        <w:t>της</w:t>
      </w:r>
      <w:r w:rsidRPr="005511E3">
        <w:rPr>
          <w:color w:val="021142"/>
          <w:spacing w:val="-5"/>
          <w:lang w:val="el-GR"/>
        </w:rPr>
        <w:t xml:space="preserve"> </w:t>
      </w:r>
      <w:r w:rsidRPr="005511E3">
        <w:rPr>
          <w:color w:val="021142"/>
          <w:lang w:val="el-GR"/>
        </w:rPr>
        <w:t>υπό</w:t>
      </w:r>
      <w:r w:rsidRPr="005511E3">
        <w:rPr>
          <w:color w:val="021142"/>
          <w:spacing w:val="-6"/>
          <w:lang w:val="el-GR"/>
        </w:rPr>
        <w:t xml:space="preserve"> </w:t>
      </w:r>
      <w:r w:rsidRPr="005511E3">
        <w:rPr>
          <w:color w:val="021142"/>
          <w:lang w:val="el-GR"/>
        </w:rPr>
        <w:t>εξέταση</w:t>
      </w:r>
      <w:r w:rsidRPr="005511E3">
        <w:rPr>
          <w:color w:val="021142"/>
          <w:spacing w:val="-5"/>
          <w:lang w:val="el-GR"/>
        </w:rPr>
        <w:t xml:space="preserve"> </w:t>
      </w:r>
      <w:r w:rsidRPr="005511E3">
        <w:rPr>
          <w:color w:val="021142"/>
          <w:lang w:val="el-GR"/>
        </w:rPr>
        <w:t>περιόδου.</w:t>
      </w:r>
    </w:p>
    <w:p w14:paraId="5289C81F" w14:textId="77777777" w:rsidR="00C11BB6" w:rsidRPr="00C11BB6" w:rsidRDefault="00C11BB6" w:rsidP="0063742F">
      <w:pPr>
        <w:pStyle w:val="ListParagraph"/>
        <w:numPr>
          <w:ilvl w:val="0"/>
          <w:numId w:val="19"/>
        </w:numPr>
        <w:tabs>
          <w:tab w:val="left" w:pos="424"/>
        </w:tabs>
        <w:spacing w:before="105" w:line="249" w:lineRule="auto"/>
        <w:rPr>
          <w:color w:val="021142"/>
          <w:lang w:val="el-GR"/>
        </w:rPr>
      </w:pPr>
      <w:r w:rsidRPr="00C11BB6">
        <w:rPr>
          <w:b/>
          <w:color w:val="021142"/>
          <w:lang w:val="el-GR"/>
        </w:rPr>
        <w:t>Δείκτης Εσόδων από αμοιβές και προμήθειες προς σύνολο ενεργητικού:</w:t>
      </w:r>
      <w:r w:rsidRPr="00C11BB6">
        <w:rPr>
          <w:color w:val="021142"/>
          <w:lang w:val="el-GR"/>
        </w:rPr>
        <w:t xml:space="preserve"> Το σύνολο των καθαρών εσόδων από τραπεζικές αμοιβές και προμήθειες και των εσόδων από μη τραπεζικές υπηρεσίες της υπό εξέταση περιόδου προς το μέσο υπόλοιπο του συνόλου ενεργητικού των συνεχιζόμενων δραστηριοτήτων (ο αριθμητικός μέσος όρος του συνόλου ενεργητικού, εξαιρουμένων των στοιχείων ενεργητικού από μη συνεχιζόμενες δραστηριότητες, στο τέλος της υπό εξέταση περιόδου, στο τέλος των ενδιάμεσων τριμήνων και στο τέλος της προηγούμενης περιόδου).</w:t>
      </w:r>
    </w:p>
    <w:p w14:paraId="0ACF4167" w14:textId="6657055A" w:rsidR="00852D18" w:rsidRPr="00C4445D" w:rsidRDefault="005511E3" w:rsidP="0063742F">
      <w:pPr>
        <w:pStyle w:val="ListParagraph"/>
        <w:numPr>
          <w:ilvl w:val="0"/>
          <w:numId w:val="19"/>
        </w:numPr>
        <w:tabs>
          <w:tab w:val="left" w:pos="424"/>
        </w:tabs>
        <w:spacing w:before="105" w:line="249" w:lineRule="auto"/>
        <w:rPr>
          <w:bCs/>
          <w:lang w:val="el-GR"/>
        </w:rPr>
      </w:pPr>
      <w:r w:rsidRPr="005511E3">
        <w:rPr>
          <w:b/>
          <w:color w:val="021142"/>
          <w:lang w:val="el-GR"/>
        </w:rPr>
        <w:t>Δείκτης Κάλυψης Μη Εξυπηρετούμενων Ανοιγμάτων (</w:t>
      </w:r>
      <w:r>
        <w:rPr>
          <w:b/>
          <w:color w:val="021142"/>
        </w:rPr>
        <w:t>NPE</w:t>
      </w:r>
      <w:r w:rsidR="00D953B6">
        <w:rPr>
          <w:b/>
          <w:color w:val="021142"/>
        </w:rPr>
        <w:t>s</w:t>
      </w:r>
      <w:r w:rsidRPr="005511E3">
        <w:rPr>
          <w:b/>
          <w:color w:val="021142"/>
          <w:lang w:val="el-GR"/>
        </w:rPr>
        <w:t>):</w:t>
      </w:r>
      <w:r w:rsidR="00C4445D" w:rsidRPr="00C4445D">
        <w:rPr>
          <w:color w:val="021142"/>
          <w:spacing w:val="-1"/>
          <w:lang w:val="el-GR"/>
        </w:rPr>
        <w:t xml:space="preserve"> </w:t>
      </w:r>
      <w:r w:rsidR="00C4445D" w:rsidRPr="00C4445D">
        <w:rPr>
          <w:bCs/>
          <w:color w:val="021142"/>
          <w:lang w:val="el-GR"/>
        </w:rPr>
        <w:t xml:space="preserve">Ο λόγος των συσσωρευμένων προβλέψεων για πιστωτικούς κινδύνους από δάνεια και απαιτήσεις από πελάτες και των προβλέψεων για δεσμεύσεις που σχετίζονται με το πιστωτικό κίνδυνο (στοιχεία εκτός ισολογισμού), προς το σύνολο των </w:t>
      </w:r>
      <w:r w:rsidR="00C4445D" w:rsidRPr="00C4445D">
        <w:rPr>
          <w:bCs/>
          <w:color w:val="021142"/>
        </w:rPr>
        <w:t>NPE</w:t>
      </w:r>
      <w:r w:rsidR="00C4445D" w:rsidRPr="00C4445D">
        <w:rPr>
          <w:bCs/>
          <w:color w:val="021142"/>
          <w:lang w:val="el-GR"/>
        </w:rPr>
        <w:t>, στο τέλος της υπό εξέταση περιόδου</w:t>
      </w:r>
      <w:r w:rsidRPr="00C4445D">
        <w:rPr>
          <w:bCs/>
          <w:color w:val="021142"/>
          <w:lang w:val="el-GR"/>
        </w:rPr>
        <w:t>.</w:t>
      </w:r>
    </w:p>
    <w:p w14:paraId="17DC2FE0" w14:textId="77777777" w:rsidR="0063742F" w:rsidRPr="0063742F" w:rsidRDefault="005511E3" w:rsidP="0063742F">
      <w:pPr>
        <w:pStyle w:val="ListParagraph"/>
        <w:numPr>
          <w:ilvl w:val="0"/>
          <w:numId w:val="19"/>
        </w:numPr>
        <w:tabs>
          <w:tab w:val="left" w:pos="441"/>
        </w:tabs>
        <w:spacing w:before="110" w:line="242" w:lineRule="auto"/>
        <w:rPr>
          <w:lang w:val="el-GR"/>
        </w:rPr>
      </w:pPr>
      <w:r w:rsidRPr="005511E3">
        <w:rPr>
          <w:b/>
          <w:color w:val="021142"/>
          <w:lang w:val="el-GR"/>
        </w:rPr>
        <w:t xml:space="preserve">Δείκτης Κάλυψης Ρευστότητας: </w:t>
      </w:r>
      <w:r w:rsidRPr="005511E3">
        <w:rPr>
          <w:color w:val="021142"/>
          <w:lang w:val="el-GR"/>
        </w:rPr>
        <w:t>Το συνολικό ποσό των υψηλής ποιότητας άμεσα ρευστοποιήσιμων στοιχείων</w:t>
      </w:r>
      <w:r w:rsidRPr="005511E3">
        <w:rPr>
          <w:color w:val="021142"/>
          <w:spacing w:val="1"/>
          <w:lang w:val="el-GR"/>
        </w:rPr>
        <w:t xml:space="preserve"> </w:t>
      </w:r>
      <w:r w:rsidRPr="005511E3">
        <w:rPr>
          <w:color w:val="021142"/>
          <w:lang w:val="el-GR"/>
        </w:rPr>
        <w:t>ενεργητικού</w:t>
      </w:r>
      <w:r w:rsidRPr="005511E3">
        <w:rPr>
          <w:color w:val="021142"/>
          <w:spacing w:val="-5"/>
          <w:lang w:val="el-GR"/>
        </w:rPr>
        <w:t xml:space="preserve"> </w:t>
      </w:r>
      <w:r w:rsidRPr="005511E3">
        <w:rPr>
          <w:color w:val="021142"/>
          <w:lang w:val="el-GR"/>
        </w:rPr>
        <w:t>ως</w:t>
      </w:r>
      <w:r w:rsidRPr="005511E3">
        <w:rPr>
          <w:color w:val="021142"/>
          <w:spacing w:val="-4"/>
          <w:lang w:val="el-GR"/>
        </w:rPr>
        <w:t xml:space="preserve"> </w:t>
      </w:r>
      <w:r w:rsidRPr="005511E3">
        <w:rPr>
          <w:color w:val="021142"/>
          <w:lang w:val="el-GR"/>
        </w:rPr>
        <w:t>προς</w:t>
      </w:r>
      <w:r w:rsidRPr="005511E3">
        <w:rPr>
          <w:color w:val="021142"/>
          <w:spacing w:val="-4"/>
          <w:lang w:val="el-GR"/>
        </w:rPr>
        <w:t xml:space="preserve"> </w:t>
      </w:r>
      <w:r w:rsidRPr="005511E3">
        <w:rPr>
          <w:color w:val="021142"/>
          <w:lang w:val="el-GR"/>
        </w:rPr>
        <w:t>τις</w:t>
      </w:r>
      <w:r w:rsidRPr="005511E3">
        <w:rPr>
          <w:color w:val="021142"/>
          <w:spacing w:val="-4"/>
          <w:lang w:val="el-GR"/>
        </w:rPr>
        <w:t xml:space="preserve"> </w:t>
      </w:r>
      <w:r w:rsidRPr="005511E3">
        <w:rPr>
          <w:color w:val="021142"/>
          <w:lang w:val="el-GR"/>
        </w:rPr>
        <w:t>καθαρές</w:t>
      </w:r>
      <w:r w:rsidRPr="005511E3">
        <w:rPr>
          <w:color w:val="021142"/>
          <w:spacing w:val="-4"/>
          <w:lang w:val="el-GR"/>
        </w:rPr>
        <w:t xml:space="preserve"> </w:t>
      </w:r>
      <w:r w:rsidRPr="005511E3">
        <w:rPr>
          <w:color w:val="021142"/>
          <w:lang w:val="el-GR"/>
        </w:rPr>
        <w:t>εκροές</w:t>
      </w:r>
      <w:r w:rsidRPr="005511E3">
        <w:rPr>
          <w:color w:val="021142"/>
          <w:spacing w:val="-4"/>
          <w:lang w:val="el-GR"/>
        </w:rPr>
        <w:t xml:space="preserve"> </w:t>
      </w:r>
      <w:r w:rsidRPr="005511E3">
        <w:rPr>
          <w:color w:val="021142"/>
          <w:lang w:val="el-GR"/>
        </w:rPr>
        <w:t>ρευστότητας</w:t>
      </w:r>
      <w:r w:rsidRPr="005511E3">
        <w:rPr>
          <w:color w:val="021142"/>
          <w:spacing w:val="-4"/>
          <w:lang w:val="el-GR"/>
        </w:rPr>
        <w:t xml:space="preserve"> </w:t>
      </w:r>
      <w:r w:rsidRPr="005511E3">
        <w:rPr>
          <w:color w:val="021142"/>
          <w:lang w:val="el-GR"/>
        </w:rPr>
        <w:t>για</w:t>
      </w:r>
      <w:r w:rsidRPr="005511E3">
        <w:rPr>
          <w:color w:val="021142"/>
          <w:spacing w:val="-5"/>
          <w:lang w:val="el-GR"/>
        </w:rPr>
        <w:t xml:space="preserve"> </w:t>
      </w:r>
      <w:r w:rsidRPr="005511E3">
        <w:rPr>
          <w:color w:val="021142"/>
          <w:lang w:val="el-GR"/>
        </w:rPr>
        <w:t>μια</w:t>
      </w:r>
      <w:r w:rsidRPr="005511E3">
        <w:rPr>
          <w:color w:val="021142"/>
          <w:spacing w:val="-4"/>
          <w:lang w:val="el-GR"/>
        </w:rPr>
        <w:t xml:space="preserve"> </w:t>
      </w:r>
      <w:r w:rsidRPr="005511E3">
        <w:rPr>
          <w:color w:val="021142"/>
          <w:lang w:val="el-GR"/>
        </w:rPr>
        <w:t>περίοδο</w:t>
      </w:r>
      <w:r w:rsidRPr="005511E3">
        <w:rPr>
          <w:color w:val="021142"/>
          <w:spacing w:val="-4"/>
          <w:lang w:val="el-GR"/>
        </w:rPr>
        <w:t xml:space="preserve"> </w:t>
      </w:r>
      <w:r w:rsidRPr="005511E3">
        <w:rPr>
          <w:color w:val="021142"/>
          <w:lang w:val="el-GR"/>
        </w:rPr>
        <w:t>ακραίων</w:t>
      </w:r>
      <w:r w:rsidRPr="005511E3">
        <w:rPr>
          <w:color w:val="021142"/>
          <w:spacing w:val="-4"/>
          <w:lang w:val="el-GR"/>
        </w:rPr>
        <w:t xml:space="preserve"> </w:t>
      </w:r>
      <w:r w:rsidRPr="005511E3">
        <w:rPr>
          <w:color w:val="021142"/>
          <w:lang w:val="el-GR"/>
        </w:rPr>
        <w:t>συνθηκών</w:t>
      </w:r>
      <w:r w:rsidRPr="005511E3">
        <w:rPr>
          <w:color w:val="021142"/>
          <w:spacing w:val="-4"/>
          <w:lang w:val="el-GR"/>
        </w:rPr>
        <w:t xml:space="preserve"> </w:t>
      </w:r>
      <w:r w:rsidRPr="005511E3">
        <w:rPr>
          <w:color w:val="021142"/>
          <w:lang w:val="el-GR"/>
        </w:rPr>
        <w:t>30</w:t>
      </w:r>
      <w:r w:rsidRPr="005511E3">
        <w:rPr>
          <w:color w:val="021142"/>
          <w:spacing w:val="-4"/>
          <w:lang w:val="el-GR"/>
        </w:rPr>
        <w:t xml:space="preserve"> </w:t>
      </w:r>
      <w:r w:rsidRPr="005511E3">
        <w:rPr>
          <w:color w:val="021142"/>
          <w:lang w:val="el-GR"/>
        </w:rPr>
        <w:t>ημερών.</w:t>
      </w:r>
    </w:p>
    <w:p w14:paraId="5B56B69B" w14:textId="40FAD283" w:rsidR="0063742F" w:rsidRPr="0063742F" w:rsidRDefault="005511E3" w:rsidP="0063742F">
      <w:pPr>
        <w:pStyle w:val="ListParagraph"/>
        <w:numPr>
          <w:ilvl w:val="0"/>
          <w:numId w:val="19"/>
        </w:numPr>
        <w:tabs>
          <w:tab w:val="left" w:pos="441"/>
        </w:tabs>
        <w:spacing w:before="110" w:line="242" w:lineRule="auto"/>
        <w:rPr>
          <w:lang w:val="el-GR"/>
        </w:rPr>
      </w:pPr>
      <w:r w:rsidRPr="0063742F">
        <w:rPr>
          <w:b/>
          <w:color w:val="021142"/>
          <w:lang w:val="el-GR"/>
        </w:rPr>
        <w:t>Δείκτης</w:t>
      </w:r>
      <w:r w:rsidRPr="0063742F">
        <w:rPr>
          <w:b/>
          <w:color w:val="021142"/>
          <w:spacing w:val="-6"/>
          <w:lang w:val="el-GR"/>
        </w:rPr>
        <w:t xml:space="preserve"> </w:t>
      </w:r>
      <w:r w:rsidRPr="0063742F">
        <w:rPr>
          <w:b/>
          <w:color w:val="021142"/>
          <w:lang w:val="el-GR"/>
        </w:rPr>
        <w:t>κεφαλαίου</w:t>
      </w:r>
      <w:r w:rsidRPr="0063742F">
        <w:rPr>
          <w:b/>
          <w:color w:val="021142"/>
          <w:spacing w:val="-5"/>
          <w:lang w:val="el-GR"/>
        </w:rPr>
        <w:t xml:space="preserve"> </w:t>
      </w:r>
      <w:r w:rsidRPr="0063742F">
        <w:rPr>
          <w:b/>
          <w:color w:val="021142"/>
          <w:lang w:val="el-GR"/>
        </w:rPr>
        <w:t>κοινών</w:t>
      </w:r>
      <w:r w:rsidRPr="0063742F">
        <w:rPr>
          <w:b/>
          <w:color w:val="021142"/>
          <w:spacing w:val="-5"/>
          <w:lang w:val="el-GR"/>
        </w:rPr>
        <w:t xml:space="preserve"> </w:t>
      </w:r>
      <w:r w:rsidRPr="0063742F">
        <w:rPr>
          <w:b/>
          <w:color w:val="021142"/>
          <w:lang w:val="el-GR"/>
        </w:rPr>
        <w:t>μετοχών</w:t>
      </w:r>
      <w:r w:rsidRPr="0063742F">
        <w:rPr>
          <w:b/>
          <w:color w:val="021142"/>
          <w:spacing w:val="-5"/>
          <w:lang w:val="el-GR"/>
        </w:rPr>
        <w:t xml:space="preserve"> </w:t>
      </w:r>
      <w:r w:rsidRPr="0063742F">
        <w:rPr>
          <w:b/>
          <w:color w:val="021142"/>
          <w:lang w:val="el-GR"/>
        </w:rPr>
        <w:t>κατηγορίας</w:t>
      </w:r>
      <w:r w:rsidRPr="0063742F">
        <w:rPr>
          <w:b/>
          <w:color w:val="021142"/>
          <w:spacing w:val="-6"/>
          <w:lang w:val="el-GR"/>
        </w:rPr>
        <w:t xml:space="preserve"> </w:t>
      </w:r>
      <w:r w:rsidRPr="0063742F">
        <w:rPr>
          <w:b/>
          <w:color w:val="021142"/>
          <w:lang w:val="el-GR"/>
        </w:rPr>
        <w:t>1</w:t>
      </w:r>
      <w:r w:rsidRPr="0063742F">
        <w:rPr>
          <w:b/>
          <w:color w:val="021142"/>
          <w:spacing w:val="-5"/>
          <w:lang w:val="el-GR"/>
        </w:rPr>
        <w:t xml:space="preserve"> </w:t>
      </w:r>
      <w:r w:rsidRPr="0063742F">
        <w:rPr>
          <w:b/>
          <w:color w:val="021142"/>
          <w:lang w:val="el-GR"/>
        </w:rPr>
        <w:t>(</w:t>
      </w:r>
      <w:r w:rsidRPr="0063742F">
        <w:rPr>
          <w:b/>
          <w:color w:val="021142"/>
        </w:rPr>
        <w:t>CET</w:t>
      </w:r>
      <w:r w:rsidRPr="0063742F">
        <w:rPr>
          <w:b/>
          <w:color w:val="021142"/>
          <w:lang w:val="el-GR"/>
        </w:rPr>
        <w:t>1):</w:t>
      </w:r>
      <w:r w:rsidRPr="0063742F">
        <w:rPr>
          <w:b/>
          <w:color w:val="021142"/>
          <w:spacing w:val="-4"/>
          <w:lang w:val="el-GR"/>
        </w:rPr>
        <w:t xml:space="preserve"> </w:t>
      </w:r>
      <w:r w:rsidR="0063742F" w:rsidRPr="0063742F">
        <w:rPr>
          <w:color w:val="021142"/>
          <w:lang w:val="el-GR"/>
        </w:rPr>
        <w:t>Σύμφωνα με τον κανονισμό (EE) Αρ.575/2013, όπως ισχύει, ο λόγος των εποπτικών κεφαλαίων κοινών μετοχών κατηγορίας 1  προς το σύνολο του σταθμισμένου ενεργητικού (Risk Weighted Assets - RWA).</w:t>
      </w:r>
    </w:p>
    <w:p w14:paraId="42F5FB71" w14:textId="77777777" w:rsidR="00D0213E" w:rsidRPr="00D0213E" w:rsidRDefault="005511E3" w:rsidP="0063742F">
      <w:pPr>
        <w:pStyle w:val="ListParagraph"/>
        <w:numPr>
          <w:ilvl w:val="0"/>
          <w:numId w:val="19"/>
        </w:numPr>
        <w:tabs>
          <w:tab w:val="left" w:pos="406"/>
        </w:tabs>
        <w:spacing w:before="101"/>
        <w:ind w:right="0"/>
        <w:rPr>
          <w:lang w:val="el-GR"/>
        </w:rPr>
      </w:pPr>
      <w:r w:rsidRPr="005511E3">
        <w:rPr>
          <w:b/>
          <w:color w:val="021142"/>
          <w:lang w:val="el-GR"/>
        </w:rPr>
        <w:t>Δείκτης</w:t>
      </w:r>
      <w:r w:rsidRPr="005511E3">
        <w:rPr>
          <w:b/>
          <w:color w:val="021142"/>
          <w:spacing w:val="-13"/>
          <w:lang w:val="el-GR"/>
        </w:rPr>
        <w:t xml:space="preserve"> </w:t>
      </w:r>
      <w:r w:rsidRPr="005511E3">
        <w:rPr>
          <w:b/>
          <w:color w:val="021142"/>
          <w:lang w:val="el-GR"/>
        </w:rPr>
        <w:t>Κόστους</w:t>
      </w:r>
      <w:r w:rsidRPr="005511E3">
        <w:rPr>
          <w:b/>
          <w:color w:val="021142"/>
          <w:spacing w:val="-12"/>
          <w:lang w:val="el-GR"/>
        </w:rPr>
        <w:t xml:space="preserve"> </w:t>
      </w:r>
      <w:r w:rsidRPr="005511E3">
        <w:rPr>
          <w:b/>
          <w:color w:val="021142"/>
          <w:lang w:val="el-GR"/>
        </w:rPr>
        <w:t>προς</w:t>
      </w:r>
      <w:r w:rsidRPr="005511E3">
        <w:rPr>
          <w:b/>
          <w:color w:val="021142"/>
          <w:spacing w:val="-12"/>
          <w:lang w:val="el-GR"/>
        </w:rPr>
        <w:t xml:space="preserve"> </w:t>
      </w:r>
      <w:r w:rsidRPr="005511E3">
        <w:rPr>
          <w:b/>
          <w:color w:val="021142"/>
          <w:lang w:val="el-GR"/>
        </w:rPr>
        <w:t>Έσοδα:</w:t>
      </w:r>
      <w:r w:rsidRPr="005511E3">
        <w:rPr>
          <w:b/>
          <w:color w:val="021142"/>
          <w:spacing w:val="-13"/>
          <w:lang w:val="el-GR"/>
        </w:rPr>
        <w:t xml:space="preserve"> </w:t>
      </w:r>
      <w:r w:rsidRPr="005511E3">
        <w:rPr>
          <w:color w:val="021142"/>
          <w:lang w:val="el-GR"/>
        </w:rPr>
        <w:t>Ο</w:t>
      </w:r>
      <w:r w:rsidRPr="005511E3">
        <w:rPr>
          <w:color w:val="021142"/>
          <w:spacing w:val="-12"/>
          <w:lang w:val="el-GR"/>
        </w:rPr>
        <w:t xml:space="preserve"> </w:t>
      </w:r>
      <w:r w:rsidRPr="005511E3">
        <w:rPr>
          <w:color w:val="021142"/>
          <w:lang w:val="el-GR"/>
        </w:rPr>
        <w:t>λόγος</w:t>
      </w:r>
      <w:r w:rsidRPr="005511E3">
        <w:rPr>
          <w:color w:val="021142"/>
          <w:spacing w:val="-13"/>
          <w:lang w:val="el-GR"/>
        </w:rPr>
        <w:t xml:space="preserve"> </w:t>
      </w:r>
      <w:r w:rsidRPr="005511E3">
        <w:rPr>
          <w:color w:val="021142"/>
          <w:lang w:val="el-GR"/>
        </w:rPr>
        <w:t>των</w:t>
      </w:r>
      <w:r w:rsidRPr="005511E3">
        <w:rPr>
          <w:color w:val="021142"/>
          <w:spacing w:val="-13"/>
          <w:lang w:val="el-GR"/>
        </w:rPr>
        <w:t xml:space="preserve"> </w:t>
      </w:r>
      <w:r w:rsidRPr="005511E3">
        <w:rPr>
          <w:color w:val="021142"/>
          <w:lang w:val="el-GR"/>
        </w:rPr>
        <w:t>λειτουργικών</w:t>
      </w:r>
      <w:r w:rsidRPr="005511E3">
        <w:rPr>
          <w:color w:val="021142"/>
          <w:spacing w:val="-13"/>
          <w:lang w:val="el-GR"/>
        </w:rPr>
        <w:t xml:space="preserve"> </w:t>
      </w:r>
      <w:r w:rsidRPr="005511E3">
        <w:rPr>
          <w:color w:val="021142"/>
          <w:lang w:val="el-GR"/>
        </w:rPr>
        <w:t>εξόδων</w:t>
      </w:r>
      <w:r w:rsidRPr="005511E3">
        <w:rPr>
          <w:color w:val="021142"/>
          <w:spacing w:val="-12"/>
          <w:lang w:val="el-GR"/>
        </w:rPr>
        <w:t xml:space="preserve"> </w:t>
      </w:r>
      <w:r w:rsidRPr="005511E3">
        <w:rPr>
          <w:color w:val="021142"/>
          <w:lang w:val="el-GR"/>
        </w:rPr>
        <w:t>προς</w:t>
      </w:r>
      <w:r w:rsidRPr="005511E3">
        <w:rPr>
          <w:color w:val="021142"/>
          <w:spacing w:val="-13"/>
          <w:lang w:val="el-GR"/>
        </w:rPr>
        <w:t xml:space="preserve"> </w:t>
      </w:r>
      <w:r w:rsidRPr="005511E3">
        <w:rPr>
          <w:color w:val="021142"/>
          <w:lang w:val="el-GR"/>
        </w:rPr>
        <w:t>τα</w:t>
      </w:r>
      <w:r w:rsidRPr="005511E3">
        <w:rPr>
          <w:color w:val="021142"/>
          <w:spacing w:val="-13"/>
          <w:lang w:val="el-GR"/>
        </w:rPr>
        <w:t xml:space="preserve"> </w:t>
      </w:r>
      <w:r w:rsidRPr="005511E3">
        <w:rPr>
          <w:color w:val="021142"/>
          <w:lang w:val="el-GR"/>
        </w:rPr>
        <w:t>λειτουργικά</w:t>
      </w:r>
      <w:r w:rsidRPr="005511E3">
        <w:rPr>
          <w:color w:val="021142"/>
          <w:spacing w:val="-12"/>
          <w:lang w:val="el-GR"/>
        </w:rPr>
        <w:t xml:space="preserve"> </w:t>
      </w:r>
      <w:r w:rsidRPr="005511E3">
        <w:rPr>
          <w:color w:val="021142"/>
          <w:lang w:val="el-GR"/>
        </w:rPr>
        <w:t>έσοδα.</w:t>
      </w:r>
    </w:p>
    <w:p w14:paraId="71BBFC3C" w14:textId="77777777" w:rsidR="00D0213E" w:rsidRPr="00FD1F44" w:rsidRDefault="00D0213E" w:rsidP="0063742F">
      <w:pPr>
        <w:pStyle w:val="ListParagraph"/>
        <w:numPr>
          <w:ilvl w:val="0"/>
          <w:numId w:val="20"/>
        </w:numPr>
        <w:tabs>
          <w:tab w:val="left" w:pos="406"/>
        </w:tabs>
        <w:spacing w:before="105" w:line="249" w:lineRule="auto"/>
        <w:rPr>
          <w:bCs/>
          <w:color w:val="021142"/>
          <w:lang w:val="el-GR"/>
        </w:rPr>
      </w:pPr>
      <w:r w:rsidRPr="00FD1F44">
        <w:rPr>
          <w:b/>
          <w:color w:val="021142"/>
          <w:lang w:val="el-GR"/>
        </w:rPr>
        <w:t xml:space="preserve">Δείκτης Κόστους προς Οργανικά Έσοδα: </w:t>
      </w:r>
      <w:r w:rsidRPr="00FD1F44">
        <w:rPr>
          <w:bCs/>
          <w:color w:val="021142"/>
          <w:lang w:val="el-GR"/>
        </w:rPr>
        <w:t>Ο λόγος των λειτουργικών εξόδων προς τα οργανικά λειτουργικά έσοδα. Τα οργανικά λειτουργικά έσοδα είναι το σύνολο των καθαρών εσόδων από τόκους, των καθαρών εσόδων από τραπεζικές αμοιβές και προμήθειες και των εσόδων από μη τραπεζικές υπηρεσίες.</w:t>
      </w:r>
    </w:p>
    <w:p w14:paraId="53C87000" w14:textId="2FA8EC03" w:rsidR="004673FF" w:rsidRPr="004673FF" w:rsidRDefault="005511E3" w:rsidP="0063742F">
      <w:pPr>
        <w:pStyle w:val="ListParagraph"/>
        <w:numPr>
          <w:ilvl w:val="0"/>
          <w:numId w:val="20"/>
        </w:numPr>
        <w:tabs>
          <w:tab w:val="left" w:pos="407"/>
        </w:tabs>
        <w:spacing w:before="96" w:line="242" w:lineRule="auto"/>
        <w:ind w:right="299"/>
        <w:rPr>
          <w:lang w:val="el-GR"/>
        </w:rPr>
      </w:pPr>
      <w:r w:rsidRPr="005511E3">
        <w:rPr>
          <w:b/>
          <w:color w:val="021142"/>
          <w:lang w:val="el-GR"/>
        </w:rPr>
        <w:t>Δείκτης</w:t>
      </w:r>
      <w:r w:rsidRPr="005511E3">
        <w:rPr>
          <w:b/>
          <w:color w:val="021142"/>
          <w:spacing w:val="-11"/>
          <w:lang w:val="el-GR"/>
        </w:rPr>
        <w:t xml:space="preserve"> </w:t>
      </w:r>
      <w:r>
        <w:rPr>
          <w:b/>
          <w:color w:val="021142"/>
        </w:rPr>
        <w:t>NPE</w:t>
      </w:r>
      <w:r w:rsidRPr="005511E3">
        <w:rPr>
          <w:b/>
          <w:color w:val="021142"/>
          <w:lang w:val="el-GR"/>
        </w:rPr>
        <w:t>:</w:t>
      </w:r>
      <w:r w:rsidRPr="005511E3">
        <w:rPr>
          <w:b/>
          <w:color w:val="021142"/>
          <w:spacing w:val="-11"/>
          <w:lang w:val="el-GR"/>
        </w:rPr>
        <w:t xml:space="preserve"> </w:t>
      </w:r>
      <w:r w:rsidRPr="005511E3">
        <w:rPr>
          <w:color w:val="021142"/>
          <w:lang w:val="el-GR"/>
        </w:rPr>
        <w:t>Ο</w:t>
      </w:r>
      <w:r w:rsidRPr="005511E3">
        <w:rPr>
          <w:color w:val="021142"/>
          <w:spacing w:val="-11"/>
          <w:lang w:val="el-GR"/>
        </w:rPr>
        <w:t xml:space="preserve"> </w:t>
      </w:r>
      <w:r w:rsidRPr="005511E3">
        <w:rPr>
          <w:color w:val="021142"/>
          <w:lang w:val="el-GR"/>
        </w:rPr>
        <w:t>λόγος</w:t>
      </w:r>
      <w:r w:rsidRPr="005511E3">
        <w:rPr>
          <w:color w:val="021142"/>
          <w:spacing w:val="-11"/>
          <w:lang w:val="el-GR"/>
        </w:rPr>
        <w:t xml:space="preserve"> </w:t>
      </w:r>
      <w:r w:rsidRPr="005511E3">
        <w:rPr>
          <w:color w:val="021142"/>
          <w:lang w:val="el-GR"/>
        </w:rPr>
        <w:t>των</w:t>
      </w:r>
      <w:r w:rsidRPr="005511E3">
        <w:rPr>
          <w:color w:val="021142"/>
          <w:spacing w:val="-11"/>
          <w:lang w:val="el-GR"/>
        </w:rPr>
        <w:t xml:space="preserve"> </w:t>
      </w:r>
      <w:r>
        <w:rPr>
          <w:color w:val="021142"/>
        </w:rPr>
        <w:t>NPE</w:t>
      </w:r>
      <w:r w:rsidR="00201E03">
        <w:rPr>
          <w:color w:val="021142"/>
        </w:rPr>
        <w:t>s</w:t>
      </w:r>
      <w:r w:rsidRPr="005511E3">
        <w:rPr>
          <w:color w:val="021142"/>
          <w:spacing w:val="-10"/>
          <w:lang w:val="el-GR"/>
        </w:rPr>
        <w:t xml:space="preserve"> </w:t>
      </w:r>
      <w:r w:rsidRPr="005511E3">
        <w:rPr>
          <w:color w:val="021142"/>
          <w:lang w:val="el-GR"/>
        </w:rPr>
        <w:t>προς</w:t>
      </w:r>
      <w:r w:rsidRPr="005511E3">
        <w:rPr>
          <w:color w:val="021142"/>
          <w:spacing w:val="-11"/>
          <w:lang w:val="el-GR"/>
        </w:rPr>
        <w:t xml:space="preserve"> </w:t>
      </w:r>
      <w:r w:rsidRPr="005511E3">
        <w:rPr>
          <w:color w:val="021142"/>
          <w:lang w:val="el-GR"/>
        </w:rPr>
        <w:t>το</w:t>
      </w:r>
      <w:r w:rsidRPr="005511E3">
        <w:rPr>
          <w:color w:val="021142"/>
          <w:spacing w:val="-11"/>
          <w:lang w:val="el-GR"/>
        </w:rPr>
        <w:t xml:space="preserve"> </w:t>
      </w:r>
      <w:r w:rsidRPr="005511E3">
        <w:rPr>
          <w:color w:val="021142"/>
          <w:lang w:val="el-GR"/>
        </w:rPr>
        <w:t>σύνολο</w:t>
      </w:r>
      <w:r w:rsidRPr="005511E3">
        <w:rPr>
          <w:color w:val="021142"/>
          <w:spacing w:val="-11"/>
          <w:lang w:val="el-GR"/>
        </w:rPr>
        <w:t xml:space="preserve"> </w:t>
      </w:r>
      <w:r w:rsidRPr="005511E3">
        <w:rPr>
          <w:color w:val="021142"/>
          <w:lang w:val="el-GR"/>
        </w:rPr>
        <w:t>των</w:t>
      </w:r>
      <w:r w:rsidRPr="005511E3">
        <w:rPr>
          <w:color w:val="021142"/>
          <w:spacing w:val="-11"/>
          <w:lang w:val="el-GR"/>
        </w:rPr>
        <w:t xml:space="preserve"> </w:t>
      </w:r>
      <w:r w:rsidRPr="005511E3">
        <w:rPr>
          <w:color w:val="021142"/>
          <w:lang w:val="el-GR"/>
        </w:rPr>
        <w:t>δανείων</w:t>
      </w:r>
      <w:r w:rsidRPr="005511E3">
        <w:rPr>
          <w:color w:val="021142"/>
          <w:spacing w:val="-11"/>
          <w:lang w:val="el-GR"/>
        </w:rPr>
        <w:t xml:space="preserve"> </w:t>
      </w:r>
      <w:r w:rsidRPr="005511E3">
        <w:rPr>
          <w:color w:val="021142"/>
          <w:lang w:val="el-GR"/>
        </w:rPr>
        <w:t>και</w:t>
      </w:r>
      <w:r w:rsidRPr="005511E3">
        <w:rPr>
          <w:color w:val="021142"/>
          <w:spacing w:val="-11"/>
          <w:lang w:val="el-GR"/>
        </w:rPr>
        <w:t xml:space="preserve"> </w:t>
      </w:r>
      <w:r w:rsidRPr="005511E3">
        <w:rPr>
          <w:color w:val="021142"/>
          <w:lang w:val="el-GR"/>
        </w:rPr>
        <w:t>απαιτήσεων</w:t>
      </w:r>
      <w:r w:rsidRPr="005511E3">
        <w:rPr>
          <w:color w:val="021142"/>
          <w:spacing w:val="-11"/>
          <w:lang w:val="el-GR"/>
        </w:rPr>
        <w:t xml:space="preserve"> </w:t>
      </w:r>
      <w:r w:rsidRPr="005511E3">
        <w:rPr>
          <w:color w:val="021142"/>
          <w:lang w:val="el-GR"/>
        </w:rPr>
        <w:t>από</w:t>
      </w:r>
      <w:r w:rsidRPr="005511E3">
        <w:rPr>
          <w:color w:val="021142"/>
          <w:spacing w:val="-11"/>
          <w:lang w:val="el-GR"/>
        </w:rPr>
        <w:t xml:space="preserve"> </w:t>
      </w:r>
      <w:r w:rsidRPr="005511E3">
        <w:rPr>
          <w:color w:val="021142"/>
          <w:lang w:val="el-GR"/>
        </w:rPr>
        <w:t>πελάτες</w:t>
      </w:r>
      <w:r w:rsidRPr="005511E3">
        <w:rPr>
          <w:color w:val="021142"/>
          <w:spacing w:val="-11"/>
          <w:lang w:val="el-GR"/>
        </w:rPr>
        <w:t xml:space="preserve"> </w:t>
      </w:r>
      <w:r w:rsidRPr="005511E3">
        <w:rPr>
          <w:color w:val="021142"/>
          <w:lang w:val="el-GR"/>
        </w:rPr>
        <w:t>(προ</w:t>
      </w:r>
      <w:r w:rsidRPr="005511E3">
        <w:rPr>
          <w:color w:val="021142"/>
          <w:spacing w:val="-11"/>
          <w:lang w:val="el-GR"/>
        </w:rPr>
        <w:t xml:space="preserve"> </w:t>
      </w:r>
      <w:r w:rsidRPr="005511E3">
        <w:rPr>
          <w:color w:val="021142"/>
          <w:lang w:val="el-GR"/>
        </w:rPr>
        <w:t>προβλέψεων),</w:t>
      </w:r>
      <w:r w:rsidRPr="005511E3">
        <w:rPr>
          <w:color w:val="021142"/>
          <w:spacing w:val="-52"/>
          <w:lang w:val="el-GR"/>
        </w:rPr>
        <w:t xml:space="preserve"> </w:t>
      </w:r>
      <w:r w:rsidRPr="005511E3">
        <w:rPr>
          <w:color w:val="021142"/>
          <w:lang w:val="el-GR"/>
        </w:rPr>
        <w:t>που</w:t>
      </w:r>
      <w:r w:rsidRPr="005511E3">
        <w:rPr>
          <w:color w:val="021142"/>
          <w:spacing w:val="-2"/>
          <w:lang w:val="el-GR"/>
        </w:rPr>
        <w:t xml:space="preserve"> </w:t>
      </w:r>
      <w:r w:rsidRPr="005511E3">
        <w:rPr>
          <w:color w:val="021142"/>
          <w:lang w:val="el-GR"/>
        </w:rPr>
        <w:t>επιμετρώνται</w:t>
      </w:r>
      <w:r w:rsidRPr="005511E3">
        <w:rPr>
          <w:color w:val="021142"/>
          <w:spacing w:val="-1"/>
          <w:lang w:val="el-GR"/>
        </w:rPr>
        <w:t xml:space="preserve"> </w:t>
      </w:r>
      <w:r w:rsidRPr="005511E3">
        <w:rPr>
          <w:color w:val="021142"/>
          <w:lang w:val="el-GR"/>
        </w:rPr>
        <w:t>στο</w:t>
      </w:r>
      <w:r w:rsidRPr="005511E3">
        <w:rPr>
          <w:color w:val="021142"/>
          <w:spacing w:val="-2"/>
          <w:lang w:val="el-GR"/>
        </w:rPr>
        <w:t xml:space="preserve"> </w:t>
      </w:r>
      <w:r w:rsidRPr="005511E3">
        <w:rPr>
          <w:color w:val="021142"/>
          <w:lang w:val="el-GR"/>
        </w:rPr>
        <w:t>αποσβέσιμο</w:t>
      </w:r>
      <w:r w:rsidRPr="005511E3">
        <w:rPr>
          <w:color w:val="021142"/>
          <w:spacing w:val="-1"/>
          <w:lang w:val="el-GR"/>
        </w:rPr>
        <w:t xml:space="preserve"> </w:t>
      </w:r>
      <w:r w:rsidRPr="005511E3">
        <w:rPr>
          <w:color w:val="021142"/>
          <w:lang w:val="el-GR"/>
        </w:rPr>
        <w:t>κόστος</w:t>
      </w:r>
      <w:r w:rsidRPr="005511E3">
        <w:rPr>
          <w:color w:val="021142"/>
          <w:spacing w:val="-2"/>
          <w:lang w:val="el-GR"/>
        </w:rPr>
        <w:t xml:space="preserve"> </w:t>
      </w:r>
      <w:r w:rsidRPr="005511E3">
        <w:rPr>
          <w:color w:val="021142"/>
          <w:lang w:val="el-GR"/>
        </w:rPr>
        <w:t>στο</w:t>
      </w:r>
      <w:r w:rsidRPr="005511E3">
        <w:rPr>
          <w:color w:val="021142"/>
          <w:spacing w:val="-1"/>
          <w:lang w:val="el-GR"/>
        </w:rPr>
        <w:t xml:space="preserve"> </w:t>
      </w:r>
      <w:r w:rsidRPr="005511E3">
        <w:rPr>
          <w:color w:val="021142"/>
          <w:lang w:val="el-GR"/>
        </w:rPr>
        <w:t>τέλος</w:t>
      </w:r>
      <w:r w:rsidRPr="005511E3">
        <w:rPr>
          <w:color w:val="021142"/>
          <w:spacing w:val="-2"/>
          <w:lang w:val="el-GR"/>
        </w:rPr>
        <w:t xml:space="preserve"> </w:t>
      </w:r>
      <w:r w:rsidRPr="005511E3">
        <w:rPr>
          <w:color w:val="021142"/>
          <w:lang w:val="el-GR"/>
        </w:rPr>
        <w:t>της</w:t>
      </w:r>
      <w:r w:rsidRPr="005511E3">
        <w:rPr>
          <w:color w:val="021142"/>
          <w:spacing w:val="-1"/>
          <w:lang w:val="el-GR"/>
        </w:rPr>
        <w:t xml:space="preserve"> </w:t>
      </w:r>
      <w:r w:rsidRPr="005511E3">
        <w:rPr>
          <w:color w:val="021142"/>
          <w:lang w:val="el-GR"/>
        </w:rPr>
        <w:t>υπό</w:t>
      </w:r>
      <w:r w:rsidRPr="005511E3">
        <w:rPr>
          <w:color w:val="021142"/>
          <w:spacing w:val="-1"/>
          <w:lang w:val="el-GR"/>
        </w:rPr>
        <w:t xml:space="preserve"> </w:t>
      </w:r>
      <w:r w:rsidRPr="005511E3">
        <w:rPr>
          <w:color w:val="021142"/>
          <w:lang w:val="el-GR"/>
        </w:rPr>
        <w:t>εξέταση</w:t>
      </w:r>
      <w:r w:rsidRPr="005511E3">
        <w:rPr>
          <w:color w:val="021142"/>
          <w:spacing w:val="-2"/>
          <w:lang w:val="el-GR"/>
        </w:rPr>
        <w:t xml:space="preserve"> </w:t>
      </w:r>
      <w:r w:rsidRPr="005511E3">
        <w:rPr>
          <w:color w:val="021142"/>
          <w:lang w:val="el-GR"/>
        </w:rPr>
        <w:t>περιόδου.</w:t>
      </w:r>
    </w:p>
    <w:p w14:paraId="4B7D808C" w14:textId="77777777" w:rsidR="00F920EB" w:rsidRPr="004673FF" w:rsidRDefault="004673FF" w:rsidP="0063742F">
      <w:pPr>
        <w:pStyle w:val="ListParagraph"/>
        <w:numPr>
          <w:ilvl w:val="0"/>
          <w:numId w:val="20"/>
        </w:numPr>
        <w:tabs>
          <w:tab w:val="left" w:pos="407"/>
        </w:tabs>
        <w:spacing w:before="96" w:line="242" w:lineRule="auto"/>
        <w:ind w:right="299"/>
        <w:rPr>
          <w:lang w:val="el-GR"/>
        </w:rPr>
      </w:pPr>
      <w:r w:rsidRPr="004673FF">
        <w:rPr>
          <w:b/>
          <w:color w:val="021142"/>
          <w:lang w:val="el-GR"/>
        </w:rPr>
        <w:t>Δείκτης Προβλέψεων (ζημιές) προς το μέσο υπόλοιπο δανείων (μετά από προβλέψεις) - Κόστος Κινδύνου</w:t>
      </w:r>
      <w:r w:rsidRPr="004673FF">
        <w:rPr>
          <w:lang w:val="el-GR"/>
        </w:rPr>
        <w:t xml:space="preserve">: </w:t>
      </w:r>
      <w:r w:rsidRPr="004673FF">
        <w:rPr>
          <w:color w:val="021142"/>
          <w:lang w:val="el-GR"/>
        </w:rPr>
        <w:t>Ο λόγος των προβλέψεων (ζημιών) για πιστωτικούς κινδύνους από δάνεια και απαιτήσεις της υπό εξέταση περιόδου, μη συμπεριλαμβανομένου του ποσού που αφορά δάνεια και απαιτήσεις που επιμετρώνται στο αποσβέσιμο κόστος και έχουν ταξινομηθεί ως κατεχόμενα προς πώληση, σε ετησιοποιημένη βάση, προς το μέσο υπόλοιπο των δανείων και απαιτήσεων από πελάτες που επιμετρώνται στο αποσβέσιμο κόστος (amortised cost) (ο αριθμητικός μέσος όρος των δανείων και απαιτήσεων από πελάτες στο αποσβέσιμο κόστος, στο τέλος της υπό εξέταση περιόδου, στο τέλος των ενδιάμεσων τριμήνων και στο τέλος του προηγούμενου έτους)</w:t>
      </w:r>
      <w:r>
        <w:rPr>
          <w:color w:val="021142"/>
          <w:lang w:val="el-GR"/>
        </w:rPr>
        <w:t>.</w:t>
      </w:r>
    </w:p>
    <w:p w14:paraId="68E91712" w14:textId="6574367A" w:rsidR="00852D18" w:rsidRPr="005511E3" w:rsidRDefault="005511E3" w:rsidP="0063742F">
      <w:pPr>
        <w:pStyle w:val="ListParagraph"/>
        <w:numPr>
          <w:ilvl w:val="0"/>
          <w:numId w:val="20"/>
        </w:numPr>
        <w:tabs>
          <w:tab w:val="left" w:pos="443"/>
        </w:tabs>
        <w:spacing w:before="105" w:line="247" w:lineRule="auto"/>
        <w:rPr>
          <w:lang w:val="el-GR"/>
        </w:rPr>
      </w:pPr>
      <w:r w:rsidRPr="00A404AB">
        <w:rPr>
          <w:b/>
          <w:color w:val="021142"/>
          <w:lang w:val="el-GR"/>
        </w:rPr>
        <w:t>Ε</w:t>
      </w:r>
      <w:r w:rsidRPr="005511E3">
        <w:rPr>
          <w:b/>
          <w:color w:val="021142"/>
          <w:lang w:val="el-GR"/>
        </w:rPr>
        <w:t>νσώματη Λογιστική Αξία (</w:t>
      </w:r>
      <w:r>
        <w:rPr>
          <w:b/>
          <w:color w:val="021142"/>
        </w:rPr>
        <w:t>Tangible</w:t>
      </w:r>
      <w:r w:rsidRPr="005511E3">
        <w:rPr>
          <w:b/>
          <w:color w:val="021142"/>
          <w:lang w:val="el-GR"/>
        </w:rPr>
        <w:t xml:space="preserve"> </w:t>
      </w:r>
      <w:r>
        <w:rPr>
          <w:b/>
          <w:color w:val="021142"/>
        </w:rPr>
        <w:t>Book</w:t>
      </w:r>
      <w:r w:rsidRPr="005511E3">
        <w:rPr>
          <w:b/>
          <w:color w:val="021142"/>
          <w:lang w:val="el-GR"/>
        </w:rPr>
        <w:t xml:space="preserve"> </w:t>
      </w:r>
      <w:r>
        <w:rPr>
          <w:b/>
          <w:color w:val="021142"/>
        </w:rPr>
        <w:t>Value</w:t>
      </w:r>
      <w:r w:rsidRPr="005511E3">
        <w:rPr>
          <w:b/>
          <w:color w:val="021142"/>
          <w:lang w:val="el-GR"/>
        </w:rPr>
        <w:t xml:space="preserve">): </w:t>
      </w:r>
      <w:r w:rsidRPr="005511E3">
        <w:rPr>
          <w:color w:val="021142"/>
          <w:lang w:val="el-GR"/>
        </w:rPr>
        <w:t>Το σύνολο των Ιδίων Κεφαλαίων που αναλογούν στους</w:t>
      </w:r>
      <w:r w:rsidRPr="005511E3">
        <w:rPr>
          <w:color w:val="021142"/>
          <w:spacing w:val="1"/>
          <w:lang w:val="el-GR"/>
        </w:rPr>
        <w:t xml:space="preserve"> </w:t>
      </w:r>
      <w:r w:rsidRPr="005511E3">
        <w:rPr>
          <w:color w:val="021142"/>
          <w:lang w:val="el-GR"/>
        </w:rPr>
        <w:t xml:space="preserve">μετόχους εξαιρουμένων των προνομιούχων μετοχών, </w:t>
      </w:r>
      <w:r w:rsidR="006C5E75">
        <w:rPr>
          <w:color w:val="021142"/>
          <w:lang w:val="el-GR"/>
        </w:rPr>
        <w:t>των πρόσθετων κεφαλαίων μέσων κατηγορία 1 (</w:t>
      </w:r>
      <w:r w:rsidR="006C5E75">
        <w:rPr>
          <w:color w:val="021142"/>
          <w:lang w:val="en-GB"/>
        </w:rPr>
        <w:t>AT</w:t>
      </w:r>
      <w:r w:rsidR="006C5E75" w:rsidRPr="0037690A">
        <w:rPr>
          <w:color w:val="021142"/>
          <w:lang w:val="el-GR"/>
        </w:rPr>
        <w:t xml:space="preserve">1 </w:t>
      </w:r>
      <w:r w:rsidR="006C5E75">
        <w:rPr>
          <w:color w:val="021142"/>
          <w:lang w:val="en-GB"/>
        </w:rPr>
        <w:t>capital</w:t>
      </w:r>
      <w:r w:rsidR="006C5E75" w:rsidRPr="0037690A">
        <w:rPr>
          <w:color w:val="021142"/>
          <w:lang w:val="el-GR"/>
        </w:rPr>
        <w:t xml:space="preserve"> </w:t>
      </w:r>
      <w:r w:rsidR="006C5E75">
        <w:rPr>
          <w:color w:val="021142"/>
          <w:lang w:val="en-GB"/>
        </w:rPr>
        <w:t>instruments</w:t>
      </w:r>
      <w:r w:rsidR="006C5E75" w:rsidRPr="0037690A">
        <w:rPr>
          <w:color w:val="021142"/>
          <w:lang w:val="el-GR"/>
        </w:rPr>
        <w:t>)</w:t>
      </w:r>
      <w:r w:rsidRPr="005511E3">
        <w:rPr>
          <w:color w:val="021142"/>
          <w:lang w:val="el-GR"/>
        </w:rPr>
        <w:t>, δικαιωμάτων τρίτων και άυλων</w:t>
      </w:r>
      <w:r w:rsidRPr="005511E3">
        <w:rPr>
          <w:color w:val="021142"/>
          <w:spacing w:val="-52"/>
          <w:lang w:val="el-GR"/>
        </w:rPr>
        <w:t xml:space="preserve"> </w:t>
      </w:r>
      <w:r w:rsidRPr="005511E3">
        <w:rPr>
          <w:color w:val="021142"/>
          <w:lang w:val="el-GR"/>
        </w:rPr>
        <w:t>πάγιων</w:t>
      </w:r>
      <w:r w:rsidRPr="005511E3">
        <w:rPr>
          <w:color w:val="021142"/>
          <w:spacing w:val="-1"/>
          <w:lang w:val="el-GR"/>
        </w:rPr>
        <w:t xml:space="preserve"> </w:t>
      </w:r>
      <w:r w:rsidRPr="005511E3">
        <w:rPr>
          <w:color w:val="021142"/>
          <w:lang w:val="el-GR"/>
        </w:rPr>
        <w:t>στοιχείων.</w:t>
      </w:r>
    </w:p>
    <w:p w14:paraId="16390677" w14:textId="77777777" w:rsidR="00030208" w:rsidRPr="00662765" w:rsidRDefault="00030208" w:rsidP="00662765">
      <w:pPr>
        <w:pStyle w:val="ListParagraph"/>
        <w:tabs>
          <w:tab w:val="left" w:pos="418"/>
        </w:tabs>
        <w:spacing w:before="101" w:line="247" w:lineRule="auto"/>
        <w:ind w:left="720"/>
        <w:rPr>
          <w:lang w:val="el-GR"/>
        </w:rPr>
      </w:pPr>
    </w:p>
    <w:p w14:paraId="108FE06C" w14:textId="77777777" w:rsidR="00030208" w:rsidRPr="00662765" w:rsidRDefault="00030208" w:rsidP="00662765">
      <w:pPr>
        <w:pStyle w:val="ListParagraph"/>
        <w:tabs>
          <w:tab w:val="left" w:pos="418"/>
        </w:tabs>
        <w:spacing w:before="101" w:line="247" w:lineRule="auto"/>
        <w:ind w:left="720"/>
        <w:rPr>
          <w:lang w:val="el-GR"/>
        </w:rPr>
      </w:pPr>
    </w:p>
    <w:p w14:paraId="7AA14687" w14:textId="77777777" w:rsidR="00030208" w:rsidRPr="00C6706F" w:rsidRDefault="00030208" w:rsidP="00662765">
      <w:pPr>
        <w:rPr>
          <w:b/>
          <w:color w:val="021142"/>
          <w:lang w:val="el-GR"/>
        </w:rPr>
      </w:pPr>
    </w:p>
    <w:p w14:paraId="61F142DC" w14:textId="77777777" w:rsidR="00435D86" w:rsidRPr="00C6706F" w:rsidRDefault="00435D86" w:rsidP="00662765">
      <w:pPr>
        <w:rPr>
          <w:b/>
          <w:color w:val="021142"/>
          <w:lang w:val="el-GR"/>
        </w:rPr>
      </w:pPr>
    </w:p>
    <w:p w14:paraId="0D65A233" w14:textId="77777777" w:rsidR="00435D86" w:rsidRPr="00C6706F" w:rsidRDefault="00435D86" w:rsidP="00662765">
      <w:pPr>
        <w:rPr>
          <w:b/>
          <w:color w:val="021142"/>
          <w:lang w:val="el-GR"/>
        </w:rPr>
      </w:pPr>
    </w:p>
    <w:p w14:paraId="63D58BCA" w14:textId="77777777" w:rsidR="00435D86" w:rsidRPr="00C6706F" w:rsidRDefault="00435D86" w:rsidP="00662765">
      <w:pPr>
        <w:rPr>
          <w:b/>
          <w:color w:val="021142"/>
          <w:lang w:val="el-GR"/>
        </w:rPr>
      </w:pPr>
    </w:p>
    <w:p w14:paraId="3861CA66" w14:textId="77777777" w:rsidR="00030208" w:rsidRPr="00662765" w:rsidRDefault="00030208" w:rsidP="00662765">
      <w:pPr>
        <w:pStyle w:val="ListParagraph"/>
        <w:tabs>
          <w:tab w:val="left" w:pos="418"/>
        </w:tabs>
        <w:spacing w:before="101" w:line="247" w:lineRule="auto"/>
        <w:ind w:left="720"/>
        <w:rPr>
          <w:lang w:val="el-GR"/>
        </w:rPr>
      </w:pPr>
    </w:p>
    <w:p w14:paraId="5E0F3832" w14:textId="77777777" w:rsidR="00030208" w:rsidRPr="00662765" w:rsidRDefault="00030208" w:rsidP="00662765">
      <w:pPr>
        <w:pStyle w:val="ListParagraph"/>
        <w:tabs>
          <w:tab w:val="left" w:pos="418"/>
        </w:tabs>
        <w:spacing w:before="101" w:line="247" w:lineRule="auto"/>
        <w:ind w:left="720"/>
        <w:rPr>
          <w:lang w:val="el-GR"/>
        </w:rPr>
      </w:pPr>
    </w:p>
    <w:p w14:paraId="51270F3D" w14:textId="7B5FBC6B" w:rsidR="00852D18" w:rsidRPr="005511E3" w:rsidRDefault="005511E3" w:rsidP="0063742F">
      <w:pPr>
        <w:pStyle w:val="ListParagraph"/>
        <w:numPr>
          <w:ilvl w:val="0"/>
          <w:numId w:val="20"/>
        </w:numPr>
        <w:tabs>
          <w:tab w:val="left" w:pos="418"/>
        </w:tabs>
        <w:spacing w:before="101" w:line="247" w:lineRule="auto"/>
        <w:rPr>
          <w:lang w:val="el-GR"/>
        </w:rPr>
      </w:pPr>
      <w:r w:rsidRPr="005511E3">
        <w:rPr>
          <w:b/>
          <w:color w:val="021142"/>
          <w:lang w:val="el-GR"/>
        </w:rPr>
        <w:t>Ενσώματα ίδια κεφάλαια ανά μετοχή (</w:t>
      </w:r>
      <w:r>
        <w:rPr>
          <w:b/>
          <w:color w:val="021142"/>
        </w:rPr>
        <w:t>Tangible</w:t>
      </w:r>
      <w:r w:rsidRPr="005511E3">
        <w:rPr>
          <w:b/>
          <w:color w:val="021142"/>
          <w:lang w:val="el-GR"/>
        </w:rPr>
        <w:t xml:space="preserve"> </w:t>
      </w:r>
      <w:r>
        <w:rPr>
          <w:b/>
          <w:color w:val="021142"/>
        </w:rPr>
        <w:t>Book</w:t>
      </w:r>
      <w:r w:rsidRPr="005511E3">
        <w:rPr>
          <w:b/>
          <w:color w:val="021142"/>
          <w:lang w:val="el-GR"/>
        </w:rPr>
        <w:t xml:space="preserve"> </w:t>
      </w:r>
      <w:r>
        <w:rPr>
          <w:b/>
          <w:color w:val="021142"/>
        </w:rPr>
        <w:t>Value</w:t>
      </w:r>
      <w:r w:rsidRPr="005511E3">
        <w:rPr>
          <w:b/>
          <w:color w:val="021142"/>
          <w:lang w:val="el-GR"/>
        </w:rPr>
        <w:t>/</w:t>
      </w:r>
      <w:r>
        <w:rPr>
          <w:b/>
          <w:color w:val="021142"/>
        </w:rPr>
        <w:t>Share</w:t>
      </w:r>
      <w:r w:rsidRPr="005511E3">
        <w:rPr>
          <w:b/>
          <w:color w:val="021142"/>
          <w:lang w:val="el-GR"/>
        </w:rPr>
        <w:t xml:space="preserve">): </w:t>
      </w:r>
      <w:r w:rsidRPr="005511E3">
        <w:rPr>
          <w:color w:val="021142"/>
          <w:lang w:val="el-GR"/>
        </w:rPr>
        <w:t>Ο λόγος της ενσώματης λογιστικής αξίας</w:t>
      </w:r>
      <w:r w:rsidRPr="005511E3">
        <w:rPr>
          <w:color w:val="021142"/>
          <w:spacing w:val="-52"/>
          <w:lang w:val="el-GR"/>
        </w:rPr>
        <w:t xml:space="preserve"> </w:t>
      </w:r>
      <w:r w:rsidRPr="005511E3">
        <w:rPr>
          <w:color w:val="021142"/>
          <w:lang w:val="el-GR"/>
        </w:rPr>
        <w:t>προς τον αριθμό κοινών μετοχών σε κυκλοφορία στο τέλος της περιόδου, εξαιρώντας τον αριθμό των ιδίων</w:t>
      </w:r>
      <w:r w:rsidRPr="005511E3">
        <w:rPr>
          <w:color w:val="021142"/>
          <w:spacing w:val="1"/>
          <w:lang w:val="el-GR"/>
        </w:rPr>
        <w:t xml:space="preserve"> </w:t>
      </w:r>
      <w:r w:rsidRPr="005511E3">
        <w:rPr>
          <w:color w:val="021142"/>
          <w:lang w:val="el-GR"/>
        </w:rPr>
        <w:t>μετοχών.</w:t>
      </w:r>
    </w:p>
    <w:p w14:paraId="6280811B" w14:textId="77777777" w:rsidR="00852D18" w:rsidRPr="005511E3" w:rsidRDefault="005511E3" w:rsidP="0063742F">
      <w:pPr>
        <w:pStyle w:val="ListParagraph"/>
        <w:numPr>
          <w:ilvl w:val="0"/>
          <w:numId w:val="20"/>
        </w:numPr>
        <w:tabs>
          <w:tab w:val="left" w:pos="417"/>
        </w:tabs>
        <w:spacing w:before="101" w:line="242" w:lineRule="auto"/>
        <w:rPr>
          <w:lang w:val="el-GR"/>
        </w:rPr>
      </w:pPr>
      <w:r w:rsidRPr="005511E3">
        <w:rPr>
          <w:b/>
          <w:color w:val="021142"/>
          <w:lang w:val="el-GR"/>
        </w:rPr>
        <w:t xml:space="preserve">Έσοδα από αμοιβές και προμήθειες: </w:t>
      </w:r>
      <w:r w:rsidRPr="005511E3">
        <w:rPr>
          <w:color w:val="021142"/>
          <w:lang w:val="el-GR"/>
        </w:rPr>
        <w:t>Το σύνολο των καθαρών εσόδων από τραπεζικές αμοιβές και προμήθειες</w:t>
      </w:r>
      <w:r w:rsidRPr="005511E3">
        <w:rPr>
          <w:color w:val="021142"/>
          <w:spacing w:val="-52"/>
          <w:lang w:val="el-GR"/>
        </w:rPr>
        <w:t xml:space="preserve"> </w:t>
      </w:r>
      <w:r w:rsidRPr="005511E3">
        <w:rPr>
          <w:color w:val="021142"/>
          <w:lang w:val="el-GR"/>
        </w:rPr>
        <w:t>και</w:t>
      </w:r>
      <w:r w:rsidRPr="005511E3">
        <w:rPr>
          <w:color w:val="021142"/>
          <w:spacing w:val="-2"/>
          <w:lang w:val="el-GR"/>
        </w:rPr>
        <w:t xml:space="preserve"> </w:t>
      </w:r>
      <w:r w:rsidRPr="005511E3">
        <w:rPr>
          <w:color w:val="021142"/>
          <w:lang w:val="el-GR"/>
        </w:rPr>
        <w:t>των</w:t>
      </w:r>
      <w:r w:rsidRPr="005511E3">
        <w:rPr>
          <w:color w:val="021142"/>
          <w:spacing w:val="-1"/>
          <w:lang w:val="el-GR"/>
        </w:rPr>
        <w:t xml:space="preserve"> </w:t>
      </w:r>
      <w:r w:rsidRPr="005511E3">
        <w:rPr>
          <w:color w:val="021142"/>
          <w:lang w:val="el-GR"/>
        </w:rPr>
        <w:t>εσόδων</w:t>
      </w:r>
      <w:r w:rsidRPr="005511E3">
        <w:rPr>
          <w:color w:val="021142"/>
          <w:spacing w:val="-1"/>
          <w:lang w:val="el-GR"/>
        </w:rPr>
        <w:t xml:space="preserve"> </w:t>
      </w:r>
      <w:r w:rsidRPr="005511E3">
        <w:rPr>
          <w:color w:val="021142"/>
          <w:lang w:val="el-GR"/>
        </w:rPr>
        <w:t>από</w:t>
      </w:r>
      <w:r w:rsidRPr="005511E3">
        <w:rPr>
          <w:color w:val="021142"/>
          <w:spacing w:val="-1"/>
          <w:lang w:val="el-GR"/>
        </w:rPr>
        <w:t xml:space="preserve"> </w:t>
      </w:r>
      <w:r w:rsidRPr="005511E3">
        <w:rPr>
          <w:color w:val="021142"/>
          <w:lang w:val="el-GR"/>
        </w:rPr>
        <w:t>μη</w:t>
      </w:r>
      <w:r w:rsidRPr="005511E3">
        <w:rPr>
          <w:color w:val="021142"/>
          <w:spacing w:val="-1"/>
          <w:lang w:val="el-GR"/>
        </w:rPr>
        <w:t xml:space="preserve"> </w:t>
      </w:r>
      <w:r w:rsidRPr="005511E3">
        <w:rPr>
          <w:color w:val="021142"/>
          <w:lang w:val="el-GR"/>
        </w:rPr>
        <w:t>τραπεζικές</w:t>
      </w:r>
      <w:r w:rsidRPr="005511E3">
        <w:rPr>
          <w:color w:val="021142"/>
          <w:spacing w:val="-2"/>
          <w:lang w:val="el-GR"/>
        </w:rPr>
        <w:t xml:space="preserve"> </w:t>
      </w:r>
      <w:r w:rsidRPr="005511E3">
        <w:rPr>
          <w:color w:val="021142"/>
          <w:lang w:val="el-GR"/>
        </w:rPr>
        <w:t>υπηρεσίες</w:t>
      </w:r>
      <w:r w:rsidRPr="005511E3">
        <w:rPr>
          <w:color w:val="021142"/>
          <w:spacing w:val="-1"/>
          <w:lang w:val="el-GR"/>
        </w:rPr>
        <w:t xml:space="preserve"> </w:t>
      </w:r>
      <w:r w:rsidRPr="005511E3">
        <w:rPr>
          <w:color w:val="021142"/>
          <w:lang w:val="el-GR"/>
        </w:rPr>
        <w:t>της</w:t>
      </w:r>
      <w:r w:rsidRPr="005511E3">
        <w:rPr>
          <w:color w:val="021142"/>
          <w:spacing w:val="-1"/>
          <w:lang w:val="el-GR"/>
        </w:rPr>
        <w:t xml:space="preserve"> </w:t>
      </w:r>
      <w:r w:rsidRPr="005511E3">
        <w:rPr>
          <w:color w:val="021142"/>
          <w:lang w:val="el-GR"/>
        </w:rPr>
        <w:t>υπό</w:t>
      </w:r>
      <w:r w:rsidRPr="005511E3">
        <w:rPr>
          <w:color w:val="021142"/>
          <w:spacing w:val="-1"/>
          <w:lang w:val="el-GR"/>
        </w:rPr>
        <w:t xml:space="preserve"> </w:t>
      </w:r>
      <w:r w:rsidRPr="005511E3">
        <w:rPr>
          <w:color w:val="021142"/>
          <w:lang w:val="el-GR"/>
        </w:rPr>
        <w:t>εξέταση</w:t>
      </w:r>
      <w:r w:rsidRPr="005511E3">
        <w:rPr>
          <w:color w:val="021142"/>
          <w:spacing w:val="-1"/>
          <w:lang w:val="el-GR"/>
        </w:rPr>
        <w:t xml:space="preserve"> </w:t>
      </w:r>
      <w:r w:rsidRPr="005511E3">
        <w:rPr>
          <w:color w:val="021142"/>
          <w:lang w:val="el-GR"/>
        </w:rPr>
        <w:t>περιόδου.</w:t>
      </w:r>
    </w:p>
    <w:p w14:paraId="76E5E2DD" w14:textId="77777777" w:rsidR="00852D18" w:rsidRPr="005511E3" w:rsidRDefault="005511E3" w:rsidP="0063742F">
      <w:pPr>
        <w:pStyle w:val="ListParagraph"/>
        <w:numPr>
          <w:ilvl w:val="0"/>
          <w:numId w:val="20"/>
        </w:numPr>
        <w:tabs>
          <w:tab w:val="left" w:pos="418"/>
        </w:tabs>
        <w:spacing w:before="104" w:line="242" w:lineRule="auto"/>
        <w:rPr>
          <w:lang w:val="el-GR"/>
        </w:rPr>
      </w:pPr>
      <w:r w:rsidRPr="005511E3">
        <w:rPr>
          <w:b/>
          <w:color w:val="021142"/>
          <w:lang w:val="el-GR"/>
        </w:rPr>
        <w:t xml:space="preserve">Έσοδα από εμπορικές και λοιπές δραστηριότητες: </w:t>
      </w:r>
      <w:r w:rsidRPr="005511E3">
        <w:rPr>
          <w:color w:val="021142"/>
          <w:lang w:val="el-GR"/>
        </w:rPr>
        <w:t>Το σύνολο των εσόδων από αποτελέσματα χαρτοφυλακίου</w:t>
      </w:r>
      <w:r w:rsidRPr="005511E3">
        <w:rPr>
          <w:color w:val="021142"/>
          <w:spacing w:val="-52"/>
          <w:lang w:val="el-GR"/>
        </w:rPr>
        <w:t xml:space="preserve"> </w:t>
      </w:r>
      <w:r w:rsidRPr="005511E3">
        <w:rPr>
          <w:color w:val="021142"/>
          <w:lang w:val="el-GR"/>
        </w:rPr>
        <w:t>συναλλαγών,</w:t>
      </w:r>
      <w:r w:rsidRPr="005511E3">
        <w:rPr>
          <w:color w:val="021142"/>
          <w:spacing w:val="-7"/>
          <w:lang w:val="el-GR"/>
        </w:rPr>
        <w:t xml:space="preserve"> </w:t>
      </w:r>
      <w:r w:rsidRPr="005511E3">
        <w:rPr>
          <w:color w:val="021142"/>
          <w:lang w:val="el-GR"/>
        </w:rPr>
        <w:t>αποτελέσματα</w:t>
      </w:r>
      <w:r w:rsidRPr="005511E3">
        <w:rPr>
          <w:color w:val="021142"/>
          <w:spacing w:val="-7"/>
          <w:lang w:val="el-GR"/>
        </w:rPr>
        <w:t xml:space="preserve"> </w:t>
      </w:r>
      <w:r w:rsidRPr="005511E3">
        <w:rPr>
          <w:color w:val="021142"/>
          <w:lang w:val="el-GR"/>
        </w:rPr>
        <w:t>από</w:t>
      </w:r>
      <w:r w:rsidRPr="005511E3">
        <w:rPr>
          <w:color w:val="021142"/>
          <w:spacing w:val="-6"/>
          <w:lang w:val="el-GR"/>
        </w:rPr>
        <w:t xml:space="preserve"> </w:t>
      </w:r>
      <w:r w:rsidRPr="005511E3">
        <w:rPr>
          <w:color w:val="021142"/>
          <w:lang w:val="el-GR"/>
        </w:rPr>
        <w:t>επενδυτικούς</w:t>
      </w:r>
      <w:r w:rsidRPr="005511E3">
        <w:rPr>
          <w:color w:val="021142"/>
          <w:spacing w:val="-7"/>
          <w:lang w:val="el-GR"/>
        </w:rPr>
        <w:t xml:space="preserve"> </w:t>
      </w:r>
      <w:r w:rsidRPr="005511E3">
        <w:rPr>
          <w:color w:val="021142"/>
          <w:lang w:val="el-GR"/>
        </w:rPr>
        <w:t>τίτλους</w:t>
      </w:r>
      <w:r w:rsidRPr="005511E3">
        <w:rPr>
          <w:color w:val="021142"/>
          <w:spacing w:val="-6"/>
          <w:lang w:val="el-GR"/>
        </w:rPr>
        <w:t xml:space="preserve"> </w:t>
      </w:r>
      <w:r w:rsidRPr="005511E3">
        <w:rPr>
          <w:color w:val="021142"/>
          <w:lang w:val="el-GR"/>
        </w:rPr>
        <w:t>και</w:t>
      </w:r>
      <w:r w:rsidRPr="005511E3">
        <w:rPr>
          <w:color w:val="021142"/>
          <w:spacing w:val="-7"/>
          <w:lang w:val="el-GR"/>
        </w:rPr>
        <w:t xml:space="preserve"> </w:t>
      </w:r>
      <w:r w:rsidRPr="005511E3">
        <w:rPr>
          <w:color w:val="021142"/>
          <w:lang w:val="el-GR"/>
        </w:rPr>
        <w:t>λοιπά</w:t>
      </w:r>
      <w:r w:rsidRPr="005511E3">
        <w:rPr>
          <w:color w:val="021142"/>
          <w:spacing w:val="-7"/>
          <w:lang w:val="el-GR"/>
        </w:rPr>
        <w:t xml:space="preserve"> </w:t>
      </w:r>
      <w:r w:rsidRPr="005511E3">
        <w:rPr>
          <w:color w:val="021142"/>
          <w:lang w:val="el-GR"/>
        </w:rPr>
        <w:t>έσοδα/(έξοδα)</w:t>
      </w:r>
      <w:r w:rsidRPr="005511E3">
        <w:rPr>
          <w:color w:val="021142"/>
          <w:spacing w:val="-6"/>
          <w:lang w:val="el-GR"/>
        </w:rPr>
        <w:t xml:space="preserve"> </w:t>
      </w:r>
      <w:r w:rsidRPr="005511E3">
        <w:rPr>
          <w:color w:val="021142"/>
          <w:lang w:val="el-GR"/>
        </w:rPr>
        <w:t>της</w:t>
      </w:r>
      <w:r w:rsidRPr="005511E3">
        <w:rPr>
          <w:color w:val="021142"/>
          <w:spacing w:val="-7"/>
          <w:lang w:val="el-GR"/>
        </w:rPr>
        <w:t xml:space="preserve"> </w:t>
      </w:r>
      <w:r w:rsidRPr="005511E3">
        <w:rPr>
          <w:color w:val="021142"/>
          <w:lang w:val="el-GR"/>
        </w:rPr>
        <w:t>υπό</w:t>
      </w:r>
      <w:r w:rsidRPr="005511E3">
        <w:rPr>
          <w:color w:val="021142"/>
          <w:spacing w:val="-6"/>
          <w:lang w:val="el-GR"/>
        </w:rPr>
        <w:t xml:space="preserve"> </w:t>
      </w:r>
      <w:r w:rsidRPr="005511E3">
        <w:rPr>
          <w:color w:val="021142"/>
          <w:lang w:val="el-GR"/>
        </w:rPr>
        <w:t>εξέταση</w:t>
      </w:r>
      <w:r w:rsidRPr="005511E3">
        <w:rPr>
          <w:color w:val="021142"/>
          <w:spacing w:val="-7"/>
          <w:lang w:val="el-GR"/>
        </w:rPr>
        <w:t xml:space="preserve"> </w:t>
      </w:r>
      <w:r w:rsidRPr="005511E3">
        <w:rPr>
          <w:color w:val="021142"/>
          <w:lang w:val="el-GR"/>
        </w:rPr>
        <w:t>περιόδου.</w:t>
      </w:r>
    </w:p>
    <w:p w14:paraId="6C3D345D" w14:textId="77777777" w:rsidR="00852D18" w:rsidRPr="005511E3" w:rsidRDefault="005511E3" w:rsidP="0063742F">
      <w:pPr>
        <w:pStyle w:val="ListParagraph"/>
        <w:numPr>
          <w:ilvl w:val="0"/>
          <w:numId w:val="20"/>
        </w:numPr>
        <w:tabs>
          <w:tab w:val="left" w:pos="394"/>
        </w:tabs>
        <w:spacing w:before="100" w:line="249" w:lineRule="auto"/>
        <w:rPr>
          <w:lang w:val="el-GR"/>
        </w:rPr>
      </w:pPr>
      <w:r w:rsidRPr="005511E3">
        <w:rPr>
          <w:b/>
          <w:color w:val="021142"/>
          <w:lang w:val="el-GR"/>
        </w:rPr>
        <w:t>Καθαρό</w:t>
      </w:r>
      <w:r w:rsidRPr="005511E3">
        <w:rPr>
          <w:b/>
          <w:color w:val="021142"/>
          <w:spacing w:val="-13"/>
          <w:lang w:val="el-GR"/>
        </w:rPr>
        <w:t xml:space="preserve"> </w:t>
      </w:r>
      <w:r w:rsidRPr="005511E3">
        <w:rPr>
          <w:b/>
          <w:color w:val="021142"/>
          <w:lang w:val="el-GR"/>
        </w:rPr>
        <w:t>Περιθώριο</w:t>
      </w:r>
      <w:r w:rsidRPr="005511E3">
        <w:rPr>
          <w:b/>
          <w:color w:val="021142"/>
          <w:spacing w:val="-13"/>
          <w:lang w:val="el-GR"/>
        </w:rPr>
        <w:t xml:space="preserve"> </w:t>
      </w:r>
      <w:r w:rsidRPr="005511E3">
        <w:rPr>
          <w:b/>
          <w:color w:val="021142"/>
          <w:lang w:val="el-GR"/>
        </w:rPr>
        <w:t>Επιτοκίου</w:t>
      </w:r>
      <w:r w:rsidRPr="005511E3">
        <w:rPr>
          <w:b/>
          <w:color w:val="021142"/>
          <w:spacing w:val="-13"/>
          <w:lang w:val="el-GR"/>
        </w:rPr>
        <w:t xml:space="preserve"> </w:t>
      </w:r>
      <w:r w:rsidRPr="005511E3">
        <w:rPr>
          <w:b/>
          <w:color w:val="021142"/>
          <w:lang w:val="el-GR"/>
        </w:rPr>
        <w:t>(</w:t>
      </w:r>
      <w:r>
        <w:rPr>
          <w:b/>
          <w:color w:val="021142"/>
        </w:rPr>
        <w:t>NIM</w:t>
      </w:r>
      <w:r w:rsidRPr="005511E3">
        <w:rPr>
          <w:b/>
          <w:color w:val="021142"/>
          <w:lang w:val="el-GR"/>
        </w:rPr>
        <w:t>):</w:t>
      </w:r>
      <w:r w:rsidRPr="005511E3">
        <w:rPr>
          <w:b/>
          <w:color w:val="021142"/>
          <w:spacing w:val="-13"/>
          <w:lang w:val="el-GR"/>
        </w:rPr>
        <w:t xml:space="preserve"> </w:t>
      </w:r>
      <w:r w:rsidRPr="005511E3">
        <w:rPr>
          <w:color w:val="021142"/>
          <w:lang w:val="el-GR"/>
        </w:rPr>
        <w:t>Ο</w:t>
      </w:r>
      <w:r w:rsidRPr="005511E3">
        <w:rPr>
          <w:color w:val="021142"/>
          <w:spacing w:val="-13"/>
          <w:lang w:val="el-GR"/>
        </w:rPr>
        <w:t xml:space="preserve"> </w:t>
      </w:r>
      <w:r w:rsidRPr="005511E3">
        <w:rPr>
          <w:color w:val="021142"/>
          <w:lang w:val="el-GR"/>
        </w:rPr>
        <w:t>λόγος</w:t>
      </w:r>
      <w:r w:rsidRPr="005511E3">
        <w:rPr>
          <w:color w:val="021142"/>
          <w:spacing w:val="-13"/>
          <w:lang w:val="el-GR"/>
        </w:rPr>
        <w:t xml:space="preserve"> </w:t>
      </w:r>
      <w:r w:rsidRPr="005511E3">
        <w:rPr>
          <w:color w:val="021142"/>
          <w:lang w:val="el-GR"/>
        </w:rPr>
        <w:t>των</w:t>
      </w:r>
      <w:r w:rsidRPr="005511E3">
        <w:rPr>
          <w:color w:val="021142"/>
          <w:spacing w:val="-13"/>
          <w:lang w:val="el-GR"/>
        </w:rPr>
        <w:t xml:space="preserve"> </w:t>
      </w:r>
      <w:r w:rsidRPr="005511E3">
        <w:rPr>
          <w:color w:val="021142"/>
          <w:lang w:val="el-GR"/>
        </w:rPr>
        <w:t>καθαρών</w:t>
      </w:r>
      <w:r w:rsidRPr="005511E3">
        <w:rPr>
          <w:color w:val="021142"/>
          <w:spacing w:val="-14"/>
          <w:lang w:val="el-GR"/>
        </w:rPr>
        <w:t xml:space="preserve"> </w:t>
      </w:r>
      <w:r w:rsidRPr="005511E3">
        <w:rPr>
          <w:color w:val="021142"/>
          <w:lang w:val="el-GR"/>
        </w:rPr>
        <w:t>εσόδων</w:t>
      </w:r>
      <w:r w:rsidRPr="005511E3">
        <w:rPr>
          <w:color w:val="021142"/>
          <w:spacing w:val="-13"/>
          <w:lang w:val="el-GR"/>
        </w:rPr>
        <w:t xml:space="preserve"> </w:t>
      </w:r>
      <w:r w:rsidRPr="005511E3">
        <w:rPr>
          <w:color w:val="021142"/>
          <w:lang w:val="el-GR"/>
        </w:rPr>
        <w:t>από</w:t>
      </w:r>
      <w:r w:rsidRPr="005511E3">
        <w:rPr>
          <w:color w:val="021142"/>
          <w:spacing w:val="-13"/>
          <w:lang w:val="el-GR"/>
        </w:rPr>
        <w:t xml:space="preserve"> </w:t>
      </w:r>
      <w:r w:rsidRPr="005511E3">
        <w:rPr>
          <w:color w:val="021142"/>
          <w:lang w:val="el-GR"/>
        </w:rPr>
        <w:t>τόκους</w:t>
      </w:r>
      <w:r w:rsidRPr="005511E3">
        <w:rPr>
          <w:color w:val="021142"/>
          <w:spacing w:val="-13"/>
          <w:lang w:val="el-GR"/>
        </w:rPr>
        <w:t xml:space="preserve"> </w:t>
      </w:r>
      <w:r w:rsidRPr="005511E3">
        <w:rPr>
          <w:color w:val="021142"/>
          <w:lang w:val="el-GR"/>
        </w:rPr>
        <w:t>σε</w:t>
      </w:r>
      <w:r w:rsidRPr="005511E3">
        <w:rPr>
          <w:color w:val="021142"/>
          <w:spacing w:val="-13"/>
          <w:lang w:val="el-GR"/>
        </w:rPr>
        <w:t xml:space="preserve"> </w:t>
      </w:r>
      <w:r w:rsidRPr="005511E3">
        <w:rPr>
          <w:color w:val="021142"/>
          <w:lang w:val="el-GR"/>
        </w:rPr>
        <w:t>ετησιοποιημένη</w:t>
      </w:r>
      <w:r w:rsidRPr="005511E3">
        <w:rPr>
          <w:color w:val="021142"/>
          <w:spacing w:val="-13"/>
          <w:lang w:val="el-GR"/>
        </w:rPr>
        <w:t xml:space="preserve"> </w:t>
      </w:r>
      <w:r w:rsidRPr="005511E3">
        <w:rPr>
          <w:color w:val="021142"/>
          <w:lang w:val="el-GR"/>
        </w:rPr>
        <w:t>βάση,</w:t>
      </w:r>
      <w:r w:rsidRPr="005511E3">
        <w:rPr>
          <w:color w:val="021142"/>
          <w:spacing w:val="-13"/>
          <w:lang w:val="el-GR"/>
        </w:rPr>
        <w:t xml:space="preserve"> </w:t>
      </w:r>
      <w:r w:rsidRPr="005511E3">
        <w:rPr>
          <w:color w:val="021142"/>
          <w:lang w:val="el-GR"/>
        </w:rPr>
        <w:t>προς</w:t>
      </w:r>
      <w:r w:rsidRPr="005511E3">
        <w:rPr>
          <w:color w:val="021142"/>
          <w:spacing w:val="-53"/>
          <w:lang w:val="el-GR"/>
        </w:rPr>
        <w:t xml:space="preserve"> </w:t>
      </w:r>
      <w:r w:rsidRPr="005511E3">
        <w:rPr>
          <w:color w:val="021142"/>
          <w:lang w:val="el-GR"/>
        </w:rPr>
        <w:t>το</w:t>
      </w:r>
      <w:r w:rsidRPr="005511E3">
        <w:rPr>
          <w:color w:val="021142"/>
          <w:spacing w:val="-6"/>
          <w:lang w:val="el-GR"/>
        </w:rPr>
        <w:t xml:space="preserve"> </w:t>
      </w:r>
      <w:r w:rsidRPr="005511E3">
        <w:rPr>
          <w:color w:val="021142"/>
          <w:lang w:val="el-GR"/>
        </w:rPr>
        <w:t>μέσο</w:t>
      </w:r>
      <w:r w:rsidRPr="005511E3">
        <w:rPr>
          <w:color w:val="021142"/>
          <w:spacing w:val="-5"/>
          <w:lang w:val="el-GR"/>
        </w:rPr>
        <w:t xml:space="preserve"> </w:t>
      </w:r>
      <w:r w:rsidRPr="005511E3">
        <w:rPr>
          <w:color w:val="021142"/>
          <w:lang w:val="el-GR"/>
        </w:rPr>
        <w:t>υπόλοιπο</w:t>
      </w:r>
      <w:r w:rsidRPr="005511E3">
        <w:rPr>
          <w:color w:val="021142"/>
          <w:spacing w:val="-5"/>
          <w:lang w:val="el-GR"/>
        </w:rPr>
        <w:t xml:space="preserve"> </w:t>
      </w:r>
      <w:r w:rsidRPr="005511E3">
        <w:rPr>
          <w:color w:val="021142"/>
          <w:lang w:val="el-GR"/>
        </w:rPr>
        <w:t>του</w:t>
      </w:r>
      <w:r w:rsidRPr="005511E3">
        <w:rPr>
          <w:color w:val="021142"/>
          <w:spacing w:val="-5"/>
          <w:lang w:val="el-GR"/>
        </w:rPr>
        <w:t xml:space="preserve"> </w:t>
      </w:r>
      <w:r w:rsidRPr="005511E3">
        <w:rPr>
          <w:color w:val="021142"/>
          <w:lang w:val="el-GR"/>
        </w:rPr>
        <w:t>συνόλου</w:t>
      </w:r>
      <w:r w:rsidRPr="005511E3">
        <w:rPr>
          <w:color w:val="021142"/>
          <w:spacing w:val="-6"/>
          <w:lang w:val="el-GR"/>
        </w:rPr>
        <w:t xml:space="preserve"> </w:t>
      </w:r>
      <w:r w:rsidRPr="005511E3">
        <w:rPr>
          <w:color w:val="021142"/>
          <w:lang w:val="el-GR"/>
        </w:rPr>
        <w:t>ενεργητικού</w:t>
      </w:r>
      <w:r w:rsidRPr="005511E3">
        <w:rPr>
          <w:color w:val="021142"/>
          <w:spacing w:val="-5"/>
          <w:lang w:val="el-GR"/>
        </w:rPr>
        <w:t xml:space="preserve"> </w:t>
      </w:r>
      <w:r w:rsidRPr="005511E3">
        <w:rPr>
          <w:color w:val="021142"/>
          <w:lang w:val="el-GR"/>
        </w:rPr>
        <w:t>των</w:t>
      </w:r>
      <w:r w:rsidRPr="005511E3">
        <w:rPr>
          <w:color w:val="021142"/>
          <w:spacing w:val="-5"/>
          <w:lang w:val="el-GR"/>
        </w:rPr>
        <w:t xml:space="preserve"> </w:t>
      </w:r>
      <w:r w:rsidRPr="005511E3">
        <w:rPr>
          <w:color w:val="021142"/>
          <w:lang w:val="el-GR"/>
        </w:rPr>
        <w:t>συνεχιζόμενων</w:t>
      </w:r>
      <w:r w:rsidRPr="005511E3">
        <w:rPr>
          <w:color w:val="021142"/>
          <w:spacing w:val="-5"/>
          <w:lang w:val="el-GR"/>
        </w:rPr>
        <w:t xml:space="preserve"> </w:t>
      </w:r>
      <w:r w:rsidRPr="005511E3">
        <w:rPr>
          <w:color w:val="021142"/>
          <w:lang w:val="el-GR"/>
        </w:rPr>
        <w:t>δραστηριοτήτων</w:t>
      </w:r>
      <w:r w:rsidRPr="005511E3">
        <w:rPr>
          <w:color w:val="021142"/>
          <w:spacing w:val="-5"/>
          <w:lang w:val="el-GR"/>
        </w:rPr>
        <w:t xml:space="preserve"> </w:t>
      </w:r>
      <w:r w:rsidRPr="005511E3">
        <w:rPr>
          <w:color w:val="021142"/>
          <w:lang w:val="el-GR"/>
        </w:rPr>
        <w:t>(ο</w:t>
      </w:r>
      <w:r w:rsidRPr="005511E3">
        <w:rPr>
          <w:color w:val="021142"/>
          <w:spacing w:val="-6"/>
          <w:lang w:val="el-GR"/>
        </w:rPr>
        <w:t xml:space="preserve"> </w:t>
      </w:r>
      <w:r w:rsidRPr="005511E3">
        <w:rPr>
          <w:color w:val="021142"/>
          <w:lang w:val="el-GR"/>
        </w:rPr>
        <w:t>αριθμητικός</w:t>
      </w:r>
      <w:r w:rsidRPr="005511E3">
        <w:rPr>
          <w:color w:val="021142"/>
          <w:spacing w:val="-5"/>
          <w:lang w:val="el-GR"/>
        </w:rPr>
        <w:t xml:space="preserve"> </w:t>
      </w:r>
      <w:r w:rsidRPr="005511E3">
        <w:rPr>
          <w:color w:val="021142"/>
          <w:lang w:val="el-GR"/>
        </w:rPr>
        <w:t>μέσος</w:t>
      </w:r>
      <w:r w:rsidRPr="005511E3">
        <w:rPr>
          <w:color w:val="021142"/>
          <w:spacing w:val="-5"/>
          <w:lang w:val="el-GR"/>
        </w:rPr>
        <w:t xml:space="preserve"> </w:t>
      </w:r>
      <w:r w:rsidRPr="005511E3">
        <w:rPr>
          <w:color w:val="021142"/>
          <w:lang w:val="el-GR"/>
        </w:rPr>
        <w:t>όρος</w:t>
      </w:r>
      <w:r w:rsidRPr="005511E3">
        <w:rPr>
          <w:color w:val="021142"/>
          <w:spacing w:val="-5"/>
          <w:lang w:val="el-GR"/>
        </w:rPr>
        <w:t xml:space="preserve"> </w:t>
      </w:r>
      <w:r w:rsidRPr="005511E3">
        <w:rPr>
          <w:color w:val="021142"/>
          <w:lang w:val="el-GR"/>
        </w:rPr>
        <w:t>του</w:t>
      </w:r>
      <w:r w:rsidRPr="005511E3">
        <w:rPr>
          <w:color w:val="021142"/>
          <w:spacing w:val="-52"/>
          <w:lang w:val="el-GR"/>
        </w:rPr>
        <w:t xml:space="preserve"> </w:t>
      </w:r>
      <w:r w:rsidRPr="005511E3">
        <w:rPr>
          <w:color w:val="021142"/>
          <w:spacing w:val="-1"/>
          <w:lang w:val="el-GR"/>
        </w:rPr>
        <w:t>συνόλου</w:t>
      </w:r>
      <w:r w:rsidRPr="005511E3">
        <w:rPr>
          <w:color w:val="021142"/>
          <w:spacing w:val="-12"/>
          <w:lang w:val="el-GR"/>
        </w:rPr>
        <w:t xml:space="preserve"> </w:t>
      </w:r>
      <w:r w:rsidRPr="005511E3">
        <w:rPr>
          <w:color w:val="021142"/>
          <w:spacing w:val="-1"/>
          <w:lang w:val="el-GR"/>
        </w:rPr>
        <w:t>ενεργητικού,</w:t>
      </w:r>
      <w:r w:rsidRPr="005511E3">
        <w:rPr>
          <w:color w:val="021142"/>
          <w:spacing w:val="-12"/>
          <w:lang w:val="el-GR"/>
        </w:rPr>
        <w:t xml:space="preserve"> </w:t>
      </w:r>
      <w:r w:rsidRPr="005511E3">
        <w:rPr>
          <w:color w:val="021142"/>
          <w:spacing w:val="-1"/>
          <w:lang w:val="el-GR"/>
        </w:rPr>
        <w:t>εξαιρουμένων</w:t>
      </w:r>
      <w:r w:rsidRPr="005511E3">
        <w:rPr>
          <w:color w:val="021142"/>
          <w:spacing w:val="-12"/>
          <w:lang w:val="el-GR"/>
        </w:rPr>
        <w:t xml:space="preserve"> </w:t>
      </w:r>
      <w:r w:rsidRPr="005511E3">
        <w:rPr>
          <w:color w:val="021142"/>
          <w:spacing w:val="-1"/>
          <w:lang w:val="el-GR"/>
        </w:rPr>
        <w:t>των</w:t>
      </w:r>
      <w:r w:rsidRPr="005511E3">
        <w:rPr>
          <w:color w:val="021142"/>
          <w:spacing w:val="-12"/>
          <w:lang w:val="el-GR"/>
        </w:rPr>
        <w:t xml:space="preserve"> </w:t>
      </w:r>
      <w:r w:rsidRPr="005511E3">
        <w:rPr>
          <w:color w:val="021142"/>
          <w:spacing w:val="-1"/>
          <w:lang w:val="el-GR"/>
        </w:rPr>
        <w:t>στοιχείων</w:t>
      </w:r>
      <w:r w:rsidRPr="005511E3">
        <w:rPr>
          <w:color w:val="021142"/>
          <w:spacing w:val="-12"/>
          <w:lang w:val="el-GR"/>
        </w:rPr>
        <w:t xml:space="preserve"> </w:t>
      </w:r>
      <w:r w:rsidRPr="005511E3">
        <w:rPr>
          <w:color w:val="021142"/>
          <w:spacing w:val="-1"/>
          <w:lang w:val="el-GR"/>
        </w:rPr>
        <w:t>ενεργητικού</w:t>
      </w:r>
      <w:r w:rsidRPr="005511E3">
        <w:rPr>
          <w:color w:val="021142"/>
          <w:spacing w:val="-12"/>
          <w:lang w:val="el-GR"/>
        </w:rPr>
        <w:t xml:space="preserve"> </w:t>
      </w:r>
      <w:r w:rsidRPr="005511E3">
        <w:rPr>
          <w:color w:val="021142"/>
          <w:lang w:val="el-GR"/>
        </w:rPr>
        <w:t>από</w:t>
      </w:r>
      <w:r w:rsidRPr="005511E3">
        <w:rPr>
          <w:color w:val="021142"/>
          <w:spacing w:val="-12"/>
          <w:lang w:val="el-GR"/>
        </w:rPr>
        <w:t xml:space="preserve"> </w:t>
      </w:r>
      <w:r w:rsidRPr="005511E3">
        <w:rPr>
          <w:color w:val="021142"/>
          <w:lang w:val="el-GR"/>
        </w:rPr>
        <w:t>μη</w:t>
      </w:r>
      <w:r w:rsidRPr="005511E3">
        <w:rPr>
          <w:color w:val="021142"/>
          <w:spacing w:val="-12"/>
          <w:lang w:val="el-GR"/>
        </w:rPr>
        <w:t xml:space="preserve"> </w:t>
      </w:r>
      <w:r w:rsidRPr="005511E3">
        <w:rPr>
          <w:color w:val="021142"/>
          <w:lang w:val="el-GR"/>
        </w:rPr>
        <w:t>συνεχιζόμενες</w:t>
      </w:r>
      <w:r w:rsidRPr="005511E3">
        <w:rPr>
          <w:color w:val="021142"/>
          <w:spacing w:val="-12"/>
          <w:lang w:val="el-GR"/>
        </w:rPr>
        <w:t xml:space="preserve"> </w:t>
      </w:r>
      <w:r w:rsidRPr="005511E3">
        <w:rPr>
          <w:color w:val="021142"/>
          <w:lang w:val="el-GR"/>
        </w:rPr>
        <w:t>δραστηριότητες,</w:t>
      </w:r>
      <w:r w:rsidRPr="005511E3">
        <w:rPr>
          <w:color w:val="021142"/>
          <w:spacing w:val="-12"/>
          <w:lang w:val="el-GR"/>
        </w:rPr>
        <w:t xml:space="preserve"> </w:t>
      </w:r>
      <w:r w:rsidRPr="005511E3">
        <w:rPr>
          <w:color w:val="021142"/>
          <w:lang w:val="el-GR"/>
        </w:rPr>
        <w:t>στην</w:t>
      </w:r>
      <w:r w:rsidRPr="005511E3">
        <w:rPr>
          <w:color w:val="021142"/>
          <w:spacing w:val="-12"/>
          <w:lang w:val="el-GR"/>
        </w:rPr>
        <w:t xml:space="preserve"> </w:t>
      </w:r>
      <w:r w:rsidRPr="005511E3">
        <w:rPr>
          <w:color w:val="021142"/>
          <w:lang w:val="el-GR"/>
        </w:rPr>
        <w:t>αρχή</w:t>
      </w:r>
      <w:r w:rsidRPr="005511E3">
        <w:rPr>
          <w:color w:val="021142"/>
          <w:spacing w:val="-52"/>
          <w:lang w:val="el-GR"/>
        </w:rPr>
        <w:t xml:space="preserve"> </w:t>
      </w:r>
      <w:r w:rsidRPr="005511E3">
        <w:rPr>
          <w:color w:val="021142"/>
          <w:lang w:val="el-GR"/>
        </w:rPr>
        <w:t>και</w:t>
      </w:r>
      <w:r w:rsidRPr="005511E3">
        <w:rPr>
          <w:color w:val="021142"/>
          <w:spacing w:val="-3"/>
          <w:lang w:val="el-GR"/>
        </w:rPr>
        <w:t xml:space="preserve"> </w:t>
      </w:r>
      <w:r w:rsidRPr="005511E3">
        <w:rPr>
          <w:color w:val="021142"/>
          <w:lang w:val="el-GR"/>
        </w:rPr>
        <w:t>στο</w:t>
      </w:r>
      <w:r w:rsidRPr="005511E3">
        <w:rPr>
          <w:color w:val="021142"/>
          <w:spacing w:val="-3"/>
          <w:lang w:val="el-GR"/>
        </w:rPr>
        <w:t xml:space="preserve"> </w:t>
      </w:r>
      <w:r w:rsidRPr="005511E3">
        <w:rPr>
          <w:color w:val="021142"/>
          <w:lang w:val="el-GR"/>
        </w:rPr>
        <w:t>τέλος</w:t>
      </w:r>
      <w:r w:rsidRPr="005511E3">
        <w:rPr>
          <w:color w:val="021142"/>
          <w:spacing w:val="-3"/>
          <w:lang w:val="el-GR"/>
        </w:rPr>
        <w:t xml:space="preserve"> </w:t>
      </w:r>
      <w:r w:rsidRPr="005511E3">
        <w:rPr>
          <w:color w:val="021142"/>
          <w:lang w:val="el-GR"/>
        </w:rPr>
        <w:t>της</w:t>
      </w:r>
      <w:r w:rsidRPr="005511E3">
        <w:rPr>
          <w:color w:val="021142"/>
          <w:spacing w:val="-3"/>
          <w:lang w:val="el-GR"/>
        </w:rPr>
        <w:t xml:space="preserve"> </w:t>
      </w:r>
      <w:r w:rsidRPr="005511E3">
        <w:rPr>
          <w:color w:val="021142"/>
          <w:lang w:val="el-GR"/>
        </w:rPr>
        <w:t>υπό</w:t>
      </w:r>
      <w:r w:rsidRPr="005511E3">
        <w:rPr>
          <w:color w:val="021142"/>
          <w:spacing w:val="-3"/>
          <w:lang w:val="el-GR"/>
        </w:rPr>
        <w:t xml:space="preserve"> </w:t>
      </w:r>
      <w:r w:rsidRPr="005511E3">
        <w:rPr>
          <w:color w:val="021142"/>
          <w:lang w:val="el-GR"/>
        </w:rPr>
        <w:t>εξέταση</w:t>
      </w:r>
      <w:r w:rsidRPr="005511E3">
        <w:rPr>
          <w:color w:val="021142"/>
          <w:spacing w:val="-3"/>
          <w:lang w:val="el-GR"/>
        </w:rPr>
        <w:t xml:space="preserve"> </w:t>
      </w:r>
      <w:r w:rsidRPr="005511E3">
        <w:rPr>
          <w:color w:val="021142"/>
          <w:lang w:val="el-GR"/>
        </w:rPr>
        <w:t>περιόδου</w:t>
      </w:r>
      <w:r w:rsidRPr="005511E3">
        <w:rPr>
          <w:color w:val="021142"/>
          <w:spacing w:val="-3"/>
          <w:lang w:val="el-GR"/>
        </w:rPr>
        <w:t xml:space="preserve"> </w:t>
      </w:r>
      <w:r w:rsidRPr="005511E3">
        <w:rPr>
          <w:color w:val="021142"/>
          <w:lang w:val="el-GR"/>
        </w:rPr>
        <w:t>καθώς</w:t>
      </w:r>
      <w:r w:rsidRPr="005511E3">
        <w:rPr>
          <w:color w:val="021142"/>
          <w:spacing w:val="-2"/>
          <w:lang w:val="el-GR"/>
        </w:rPr>
        <w:t xml:space="preserve"> </w:t>
      </w:r>
      <w:r w:rsidRPr="005511E3">
        <w:rPr>
          <w:color w:val="021142"/>
          <w:lang w:val="el-GR"/>
        </w:rPr>
        <w:t>επίσης</w:t>
      </w:r>
      <w:r w:rsidRPr="005511E3">
        <w:rPr>
          <w:color w:val="021142"/>
          <w:spacing w:val="-3"/>
          <w:lang w:val="el-GR"/>
        </w:rPr>
        <w:t xml:space="preserve"> </w:t>
      </w:r>
      <w:r w:rsidRPr="005511E3">
        <w:rPr>
          <w:color w:val="021142"/>
          <w:lang w:val="el-GR"/>
        </w:rPr>
        <w:t>και</w:t>
      </w:r>
      <w:r w:rsidRPr="005511E3">
        <w:rPr>
          <w:color w:val="021142"/>
          <w:spacing w:val="-3"/>
          <w:lang w:val="el-GR"/>
        </w:rPr>
        <w:t xml:space="preserve"> </w:t>
      </w:r>
      <w:r w:rsidRPr="005511E3">
        <w:rPr>
          <w:color w:val="021142"/>
          <w:lang w:val="el-GR"/>
        </w:rPr>
        <w:t>στο</w:t>
      </w:r>
      <w:r w:rsidRPr="005511E3">
        <w:rPr>
          <w:color w:val="021142"/>
          <w:spacing w:val="-3"/>
          <w:lang w:val="el-GR"/>
        </w:rPr>
        <w:t xml:space="preserve"> </w:t>
      </w:r>
      <w:r w:rsidRPr="005511E3">
        <w:rPr>
          <w:color w:val="021142"/>
          <w:lang w:val="el-GR"/>
        </w:rPr>
        <w:t>τέλος</w:t>
      </w:r>
      <w:r w:rsidRPr="005511E3">
        <w:rPr>
          <w:color w:val="021142"/>
          <w:spacing w:val="-3"/>
          <w:lang w:val="el-GR"/>
        </w:rPr>
        <w:t xml:space="preserve"> </w:t>
      </w:r>
      <w:r w:rsidRPr="005511E3">
        <w:rPr>
          <w:color w:val="021142"/>
          <w:lang w:val="el-GR"/>
        </w:rPr>
        <w:t>των</w:t>
      </w:r>
      <w:r w:rsidRPr="005511E3">
        <w:rPr>
          <w:color w:val="021142"/>
          <w:spacing w:val="-3"/>
          <w:lang w:val="el-GR"/>
        </w:rPr>
        <w:t xml:space="preserve"> </w:t>
      </w:r>
      <w:r w:rsidRPr="005511E3">
        <w:rPr>
          <w:color w:val="021142"/>
          <w:lang w:val="el-GR"/>
        </w:rPr>
        <w:t>ενδιάμεσων</w:t>
      </w:r>
      <w:r w:rsidRPr="005511E3">
        <w:rPr>
          <w:color w:val="021142"/>
          <w:spacing w:val="-3"/>
          <w:lang w:val="el-GR"/>
        </w:rPr>
        <w:t xml:space="preserve"> </w:t>
      </w:r>
      <w:r w:rsidRPr="005511E3">
        <w:rPr>
          <w:color w:val="021142"/>
          <w:lang w:val="el-GR"/>
        </w:rPr>
        <w:t>τριμήνων).</w:t>
      </w:r>
    </w:p>
    <w:p w14:paraId="030ECC33" w14:textId="20689717" w:rsidR="00852D18" w:rsidRPr="005511E3" w:rsidRDefault="005511E3" w:rsidP="0063742F">
      <w:pPr>
        <w:pStyle w:val="ListParagraph"/>
        <w:numPr>
          <w:ilvl w:val="0"/>
          <w:numId w:val="20"/>
        </w:numPr>
        <w:tabs>
          <w:tab w:val="left" w:pos="395"/>
        </w:tabs>
        <w:spacing w:before="98" w:line="242" w:lineRule="auto"/>
        <w:rPr>
          <w:lang w:val="el-GR"/>
        </w:rPr>
      </w:pPr>
      <w:r w:rsidRPr="005511E3">
        <w:rPr>
          <w:b/>
          <w:color w:val="021142"/>
          <w:spacing w:val="-1"/>
          <w:lang w:val="el-GR"/>
        </w:rPr>
        <w:t>Κέρδη</w:t>
      </w:r>
      <w:r w:rsidRPr="005511E3">
        <w:rPr>
          <w:b/>
          <w:color w:val="021142"/>
          <w:spacing w:val="-12"/>
          <w:lang w:val="el-GR"/>
        </w:rPr>
        <w:t xml:space="preserve"> </w:t>
      </w:r>
      <w:r w:rsidRPr="005511E3">
        <w:rPr>
          <w:b/>
          <w:color w:val="021142"/>
          <w:spacing w:val="-1"/>
          <w:lang w:val="el-GR"/>
        </w:rPr>
        <w:t>προ</w:t>
      </w:r>
      <w:r w:rsidRPr="005511E3">
        <w:rPr>
          <w:b/>
          <w:color w:val="021142"/>
          <w:spacing w:val="-12"/>
          <w:lang w:val="el-GR"/>
        </w:rPr>
        <w:t xml:space="preserve"> </w:t>
      </w:r>
      <w:r w:rsidRPr="005511E3">
        <w:rPr>
          <w:b/>
          <w:color w:val="021142"/>
          <w:spacing w:val="-1"/>
          <w:lang w:val="el-GR"/>
        </w:rPr>
        <w:t>προβλέψεων</w:t>
      </w:r>
      <w:r w:rsidRPr="005511E3">
        <w:rPr>
          <w:b/>
          <w:color w:val="021142"/>
          <w:spacing w:val="-12"/>
          <w:lang w:val="el-GR"/>
        </w:rPr>
        <w:t xml:space="preserve"> </w:t>
      </w:r>
      <w:r w:rsidRPr="005511E3">
        <w:rPr>
          <w:b/>
          <w:color w:val="021142"/>
          <w:spacing w:val="-1"/>
          <w:lang w:val="el-GR"/>
        </w:rPr>
        <w:t>(</w:t>
      </w:r>
      <w:r>
        <w:rPr>
          <w:b/>
          <w:color w:val="021142"/>
          <w:spacing w:val="-1"/>
        </w:rPr>
        <w:t>PPI</w:t>
      </w:r>
      <w:r w:rsidRPr="005511E3">
        <w:rPr>
          <w:b/>
          <w:color w:val="021142"/>
          <w:spacing w:val="-1"/>
          <w:lang w:val="el-GR"/>
        </w:rPr>
        <w:t>):</w:t>
      </w:r>
      <w:r w:rsidRPr="005511E3">
        <w:rPr>
          <w:b/>
          <w:color w:val="021142"/>
          <w:spacing w:val="-12"/>
          <w:lang w:val="el-GR"/>
        </w:rPr>
        <w:t xml:space="preserve"> </w:t>
      </w:r>
      <w:r w:rsidRPr="005511E3">
        <w:rPr>
          <w:color w:val="021142"/>
          <w:spacing w:val="-1"/>
          <w:lang w:val="el-GR"/>
        </w:rPr>
        <w:t>Λειτουργικά</w:t>
      </w:r>
      <w:r w:rsidRPr="005511E3">
        <w:rPr>
          <w:color w:val="021142"/>
          <w:spacing w:val="-13"/>
          <w:lang w:val="el-GR"/>
        </w:rPr>
        <w:t xml:space="preserve"> </w:t>
      </w:r>
      <w:r w:rsidRPr="005511E3">
        <w:rPr>
          <w:color w:val="021142"/>
          <w:spacing w:val="-1"/>
          <w:lang w:val="el-GR"/>
        </w:rPr>
        <w:t>κέρδη</w:t>
      </w:r>
      <w:r w:rsidRPr="005511E3">
        <w:rPr>
          <w:color w:val="021142"/>
          <w:spacing w:val="-12"/>
          <w:lang w:val="el-GR"/>
        </w:rPr>
        <w:t xml:space="preserve"> </w:t>
      </w:r>
      <w:r w:rsidRPr="005511E3">
        <w:rPr>
          <w:color w:val="021142"/>
          <w:spacing w:val="-1"/>
          <w:lang w:val="el-GR"/>
        </w:rPr>
        <w:t>προ</w:t>
      </w:r>
      <w:r w:rsidRPr="005511E3">
        <w:rPr>
          <w:color w:val="021142"/>
          <w:spacing w:val="-12"/>
          <w:lang w:val="el-GR"/>
        </w:rPr>
        <w:t xml:space="preserve"> </w:t>
      </w:r>
      <w:r w:rsidRPr="005511E3">
        <w:rPr>
          <w:color w:val="021142"/>
          <w:spacing w:val="-1"/>
          <w:lang w:val="el-GR"/>
        </w:rPr>
        <w:t>απομειώσεων,</w:t>
      </w:r>
      <w:r w:rsidRPr="005511E3">
        <w:rPr>
          <w:color w:val="021142"/>
          <w:spacing w:val="-12"/>
          <w:lang w:val="el-GR"/>
        </w:rPr>
        <w:t xml:space="preserve"> </w:t>
      </w:r>
      <w:r w:rsidRPr="005511E3">
        <w:rPr>
          <w:color w:val="021142"/>
          <w:lang w:val="el-GR"/>
        </w:rPr>
        <w:t>προβλέψεων</w:t>
      </w:r>
      <w:r w:rsidRPr="005511E3">
        <w:rPr>
          <w:color w:val="021142"/>
          <w:spacing w:val="-13"/>
          <w:lang w:val="el-GR"/>
        </w:rPr>
        <w:t xml:space="preserve"> </w:t>
      </w:r>
      <w:r w:rsidR="00673494">
        <w:rPr>
          <w:color w:val="021142"/>
          <w:spacing w:val="-13"/>
          <w:lang w:val="el-GR"/>
        </w:rPr>
        <w:t xml:space="preserve">για κινδύνους </w:t>
      </w:r>
      <w:r w:rsidRPr="005511E3">
        <w:rPr>
          <w:color w:val="021142"/>
          <w:lang w:val="el-GR"/>
        </w:rPr>
        <w:t>και</w:t>
      </w:r>
      <w:r w:rsidRPr="005511E3">
        <w:rPr>
          <w:color w:val="021142"/>
          <w:spacing w:val="-12"/>
          <w:lang w:val="el-GR"/>
        </w:rPr>
        <w:t xml:space="preserve"> </w:t>
      </w:r>
      <w:r w:rsidRPr="005511E3">
        <w:rPr>
          <w:color w:val="021142"/>
          <w:lang w:val="el-GR"/>
        </w:rPr>
        <w:t>εξόδων</w:t>
      </w:r>
      <w:r w:rsidRPr="005511E3">
        <w:rPr>
          <w:color w:val="021142"/>
          <w:spacing w:val="-12"/>
          <w:lang w:val="el-GR"/>
        </w:rPr>
        <w:t xml:space="preserve"> </w:t>
      </w:r>
      <w:r w:rsidRPr="005511E3">
        <w:rPr>
          <w:color w:val="021142"/>
          <w:lang w:val="el-GR"/>
        </w:rPr>
        <w:t>αναδιάρθρωσης</w:t>
      </w:r>
      <w:r w:rsidRPr="005511E3">
        <w:rPr>
          <w:color w:val="021142"/>
          <w:spacing w:val="-52"/>
          <w:lang w:val="el-GR"/>
        </w:rPr>
        <w:t xml:space="preserve"> </w:t>
      </w:r>
      <w:r w:rsidRPr="005511E3">
        <w:rPr>
          <w:color w:val="021142"/>
          <w:lang w:val="el-GR"/>
        </w:rPr>
        <w:t>όπως</w:t>
      </w:r>
      <w:r w:rsidRPr="005511E3">
        <w:rPr>
          <w:color w:val="021142"/>
          <w:spacing w:val="-2"/>
          <w:lang w:val="el-GR"/>
        </w:rPr>
        <w:t xml:space="preserve"> </w:t>
      </w:r>
      <w:r w:rsidRPr="005511E3">
        <w:rPr>
          <w:color w:val="021142"/>
          <w:lang w:val="el-GR"/>
        </w:rPr>
        <w:t>γνωστοποιούνται</w:t>
      </w:r>
      <w:r w:rsidRPr="005511E3">
        <w:rPr>
          <w:color w:val="021142"/>
          <w:spacing w:val="-1"/>
          <w:lang w:val="el-GR"/>
        </w:rPr>
        <w:t xml:space="preserve"> </w:t>
      </w:r>
      <w:r w:rsidRPr="005511E3">
        <w:rPr>
          <w:color w:val="021142"/>
          <w:lang w:val="el-GR"/>
        </w:rPr>
        <w:t>στις</w:t>
      </w:r>
      <w:r w:rsidRPr="005511E3">
        <w:rPr>
          <w:color w:val="021142"/>
          <w:spacing w:val="-2"/>
          <w:lang w:val="el-GR"/>
        </w:rPr>
        <w:t xml:space="preserve"> </w:t>
      </w:r>
      <w:r w:rsidRPr="005511E3">
        <w:rPr>
          <w:color w:val="021142"/>
          <w:lang w:val="el-GR"/>
        </w:rPr>
        <w:t>οικονομικές</w:t>
      </w:r>
      <w:r w:rsidRPr="005511E3">
        <w:rPr>
          <w:color w:val="021142"/>
          <w:spacing w:val="-1"/>
          <w:lang w:val="el-GR"/>
        </w:rPr>
        <w:t xml:space="preserve"> </w:t>
      </w:r>
      <w:r w:rsidRPr="005511E3">
        <w:rPr>
          <w:color w:val="021142"/>
          <w:lang w:val="el-GR"/>
        </w:rPr>
        <w:t>καταστάσεις</w:t>
      </w:r>
      <w:r w:rsidRPr="005511E3">
        <w:rPr>
          <w:color w:val="021142"/>
          <w:spacing w:val="-2"/>
          <w:lang w:val="el-GR"/>
        </w:rPr>
        <w:t xml:space="preserve"> </w:t>
      </w:r>
      <w:r w:rsidRPr="005511E3">
        <w:rPr>
          <w:color w:val="021142"/>
          <w:lang w:val="el-GR"/>
        </w:rPr>
        <w:t>της</w:t>
      </w:r>
      <w:r w:rsidRPr="005511E3">
        <w:rPr>
          <w:color w:val="021142"/>
          <w:spacing w:val="-1"/>
          <w:lang w:val="el-GR"/>
        </w:rPr>
        <w:t xml:space="preserve"> </w:t>
      </w:r>
      <w:r w:rsidRPr="005511E3">
        <w:rPr>
          <w:color w:val="021142"/>
          <w:lang w:val="el-GR"/>
        </w:rPr>
        <w:t>υπό</w:t>
      </w:r>
      <w:r w:rsidRPr="005511E3">
        <w:rPr>
          <w:color w:val="021142"/>
          <w:spacing w:val="-2"/>
          <w:lang w:val="el-GR"/>
        </w:rPr>
        <w:t xml:space="preserve"> </w:t>
      </w:r>
      <w:r w:rsidRPr="005511E3">
        <w:rPr>
          <w:color w:val="021142"/>
          <w:lang w:val="el-GR"/>
        </w:rPr>
        <w:t>εξέταση</w:t>
      </w:r>
      <w:r w:rsidRPr="005511E3">
        <w:rPr>
          <w:color w:val="021142"/>
          <w:spacing w:val="-1"/>
          <w:lang w:val="el-GR"/>
        </w:rPr>
        <w:t xml:space="preserve"> </w:t>
      </w:r>
      <w:r w:rsidRPr="005511E3">
        <w:rPr>
          <w:color w:val="021142"/>
          <w:lang w:val="el-GR"/>
        </w:rPr>
        <w:t>περιόδου.</w:t>
      </w:r>
    </w:p>
    <w:p w14:paraId="69BC701B" w14:textId="5605741A" w:rsidR="00852D18" w:rsidRPr="005511E3" w:rsidRDefault="005511E3" w:rsidP="0063742F">
      <w:pPr>
        <w:pStyle w:val="ListParagraph"/>
        <w:numPr>
          <w:ilvl w:val="0"/>
          <w:numId w:val="20"/>
        </w:numPr>
        <w:tabs>
          <w:tab w:val="left" w:pos="406"/>
        </w:tabs>
        <w:spacing w:before="104" w:line="252" w:lineRule="auto"/>
        <w:rPr>
          <w:lang w:val="el-GR"/>
        </w:rPr>
      </w:pPr>
      <w:r w:rsidRPr="005511E3">
        <w:rPr>
          <w:b/>
          <w:color w:val="021142"/>
          <w:lang w:val="el-GR"/>
        </w:rPr>
        <w:t>Μη</w:t>
      </w:r>
      <w:r w:rsidRPr="005511E3">
        <w:rPr>
          <w:b/>
          <w:color w:val="021142"/>
          <w:spacing w:val="-3"/>
          <w:lang w:val="el-GR"/>
        </w:rPr>
        <w:t xml:space="preserve"> </w:t>
      </w:r>
      <w:r w:rsidRPr="005511E3">
        <w:rPr>
          <w:b/>
          <w:color w:val="021142"/>
          <w:lang w:val="el-GR"/>
        </w:rPr>
        <w:t>Εξυπηρετούμενα</w:t>
      </w:r>
      <w:r w:rsidRPr="005511E3">
        <w:rPr>
          <w:b/>
          <w:color w:val="021142"/>
          <w:spacing w:val="-3"/>
          <w:lang w:val="el-GR"/>
        </w:rPr>
        <w:t xml:space="preserve"> </w:t>
      </w:r>
      <w:r w:rsidRPr="005511E3">
        <w:rPr>
          <w:b/>
          <w:color w:val="021142"/>
          <w:lang w:val="el-GR"/>
        </w:rPr>
        <w:t>Ανοίγματα</w:t>
      </w:r>
      <w:r w:rsidRPr="005511E3">
        <w:rPr>
          <w:b/>
          <w:color w:val="021142"/>
          <w:spacing w:val="-3"/>
          <w:lang w:val="el-GR"/>
        </w:rPr>
        <w:t xml:space="preserve"> </w:t>
      </w:r>
      <w:r w:rsidRPr="005511E3">
        <w:rPr>
          <w:b/>
          <w:color w:val="021142"/>
          <w:lang w:val="el-GR"/>
        </w:rPr>
        <w:t>(</w:t>
      </w:r>
      <w:r>
        <w:rPr>
          <w:b/>
          <w:color w:val="021142"/>
        </w:rPr>
        <w:t>NPE</w:t>
      </w:r>
      <w:r w:rsidR="00D953B6">
        <w:rPr>
          <w:b/>
          <w:color w:val="021142"/>
        </w:rPr>
        <w:t>s</w:t>
      </w:r>
      <w:r w:rsidRPr="005511E3">
        <w:rPr>
          <w:b/>
          <w:color w:val="021142"/>
          <w:lang w:val="el-GR"/>
        </w:rPr>
        <w:t>):</w:t>
      </w:r>
      <w:r w:rsidRPr="005511E3">
        <w:rPr>
          <w:b/>
          <w:color w:val="021142"/>
          <w:spacing w:val="-2"/>
          <w:lang w:val="el-GR"/>
        </w:rPr>
        <w:t xml:space="preserve"> </w:t>
      </w:r>
      <w:r w:rsidRPr="005511E3">
        <w:rPr>
          <w:color w:val="021142"/>
          <w:lang w:val="el-GR"/>
        </w:rPr>
        <w:t>Σύμφωνα</w:t>
      </w:r>
      <w:r w:rsidRPr="005511E3">
        <w:rPr>
          <w:color w:val="021142"/>
          <w:spacing w:val="-3"/>
          <w:lang w:val="el-GR"/>
        </w:rPr>
        <w:t xml:space="preserve"> </w:t>
      </w:r>
      <w:r w:rsidRPr="005511E3">
        <w:rPr>
          <w:color w:val="021142"/>
          <w:lang w:val="el-GR"/>
        </w:rPr>
        <w:t>με</w:t>
      </w:r>
      <w:r w:rsidRPr="005511E3">
        <w:rPr>
          <w:color w:val="021142"/>
          <w:spacing w:val="-4"/>
          <w:lang w:val="el-GR"/>
        </w:rPr>
        <w:t xml:space="preserve"> </w:t>
      </w:r>
      <w:r w:rsidRPr="005511E3">
        <w:rPr>
          <w:color w:val="021142"/>
          <w:lang w:val="el-GR"/>
        </w:rPr>
        <w:t>το</w:t>
      </w:r>
      <w:r w:rsidRPr="005511E3">
        <w:rPr>
          <w:color w:val="021142"/>
          <w:spacing w:val="-3"/>
          <w:lang w:val="el-GR"/>
        </w:rPr>
        <w:t xml:space="preserve"> </w:t>
      </w:r>
      <w:r w:rsidRPr="005511E3">
        <w:rPr>
          <w:color w:val="021142"/>
          <w:lang w:val="el-GR"/>
        </w:rPr>
        <w:t>υφιστάμενο</w:t>
      </w:r>
      <w:r w:rsidRPr="005511E3">
        <w:rPr>
          <w:color w:val="021142"/>
          <w:spacing w:val="-3"/>
          <w:lang w:val="el-GR"/>
        </w:rPr>
        <w:t xml:space="preserve"> </w:t>
      </w:r>
      <w:r w:rsidRPr="005511E3">
        <w:rPr>
          <w:color w:val="021142"/>
          <w:lang w:val="el-GR"/>
        </w:rPr>
        <w:t>πλαίσιο</w:t>
      </w:r>
      <w:r w:rsidRPr="005511E3">
        <w:rPr>
          <w:color w:val="021142"/>
          <w:spacing w:val="-4"/>
          <w:lang w:val="el-GR"/>
        </w:rPr>
        <w:t xml:space="preserve"> </w:t>
      </w:r>
      <w:r w:rsidRPr="005511E3">
        <w:rPr>
          <w:color w:val="021142"/>
          <w:lang w:val="el-GR"/>
        </w:rPr>
        <w:t>της</w:t>
      </w:r>
      <w:r w:rsidRPr="005511E3">
        <w:rPr>
          <w:color w:val="021142"/>
          <w:spacing w:val="-3"/>
          <w:lang w:val="el-GR"/>
        </w:rPr>
        <w:t xml:space="preserve"> </w:t>
      </w:r>
      <w:r w:rsidRPr="005511E3">
        <w:rPr>
          <w:color w:val="021142"/>
          <w:lang w:val="el-GR"/>
        </w:rPr>
        <w:t>Ευρωπαϊκής</w:t>
      </w:r>
      <w:r w:rsidRPr="005511E3">
        <w:rPr>
          <w:color w:val="021142"/>
          <w:spacing w:val="-3"/>
          <w:lang w:val="el-GR"/>
        </w:rPr>
        <w:t xml:space="preserve"> </w:t>
      </w:r>
      <w:r w:rsidRPr="005511E3">
        <w:rPr>
          <w:color w:val="021142"/>
          <w:lang w:val="el-GR"/>
        </w:rPr>
        <w:t>Αρχής</w:t>
      </w:r>
      <w:r w:rsidRPr="005511E3">
        <w:rPr>
          <w:color w:val="021142"/>
          <w:spacing w:val="-4"/>
          <w:lang w:val="el-GR"/>
        </w:rPr>
        <w:t xml:space="preserve"> </w:t>
      </w:r>
      <w:r w:rsidRPr="005511E3">
        <w:rPr>
          <w:color w:val="021142"/>
          <w:lang w:val="el-GR"/>
        </w:rPr>
        <w:t>Τραπεζών</w:t>
      </w:r>
      <w:r w:rsidRPr="005511E3">
        <w:rPr>
          <w:color w:val="021142"/>
          <w:spacing w:val="-52"/>
          <w:lang w:val="el-GR"/>
        </w:rPr>
        <w:t xml:space="preserve"> </w:t>
      </w:r>
      <w:r w:rsidRPr="005511E3">
        <w:rPr>
          <w:color w:val="021142"/>
          <w:lang w:val="el-GR"/>
        </w:rPr>
        <w:t xml:space="preserve">(ΕΑΤ) - </w:t>
      </w:r>
      <w:r>
        <w:rPr>
          <w:color w:val="021142"/>
        </w:rPr>
        <w:t>European</w:t>
      </w:r>
      <w:r w:rsidRPr="005511E3">
        <w:rPr>
          <w:color w:val="021142"/>
          <w:lang w:val="el-GR"/>
        </w:rPr>
        <w:t xml:space="preserve"> </w:t>
      </w:r>
      <w:r>
        <w:rPr>
          <w:color w:val="021142"/>
        </w:rPr>
        <w:t>Banking</w:t>
      </w:r>
      <w:r w:rsidRPr="005511E3">
        <w:rPr>
          <w:color w:val="021142"/>
          <w:lang w:val="el-GR"/>
        </w:rPr>
        <w:t xml:space="preserve"> </w:t>
      </w:r>
      <w:r>
        <w:rPr>
          <w:color w:val="021142"/>
        </w:rPr>
        <w:t>Authority</w:t>
      </w:r>
      <w:r w:rsidRPr="005511E3">
        <w:rPr>
          <w:color w:val="021142"/>
          <w:lang w:val="el-GR"/>
        </w:rPr>
        <w:t xml:space="preserve"> (</w:t>
      </w:r>
      <w:r>
        <w:rPr>
          <w:color w:val="021142"/>
        </w:rPr>
        <w:t>EBA</w:t>
      </w:r>
      <w:r w:rsidRPr="005511E3">
        <w:rPr>
          <w:color w:val="021142"/>
          <w:lang w:val="el-GR"/>
        </w:rPr>
        <w:t xml:space="preserve">) - στα </w:t>
      </w:r>
      <w:r>
        <w:rPr>
          <w:color w:val="021142"/>
        </w:rPr>
        <w:t>NPE</w:t>
      </w:r>
      <w:r w:rsidRPr="005511E3">
        <w:rPr>
          <w:color w:val="021142"/>
          <w:lang w:val="el-GR"/>
        </w:rPr>
        <w:t xml:space="preserve"> περιλαμβάνονται δάνεια και απαιτήσεις από πελάτες σε</w:t>
      </w:r>
      <w:r w:rsidRPr="005511E3">
        <w:rPr>
          <w:color w:val="021142"/>
          <w:spacing w:val="1"/>
          <w:lang w:val="el-GR"/>
        </w:rPr>
        <w:t xml:space="preserve"> </w:t>
      </w:r>
      <w:r w:rsidRPr="005511E3">
        <w:rPr>
          <w:color w:val="021142"/>
          <w:lang w:val="el-GR"/>
        </w:rPr>
        <w:t>καθυστέρηση άνω των 90 ημερών και δάνεια και απαιτήσεις από πελάτες αβέβαιης είσπραξης, δηλαδή δάνεια</w:t>
      </w:r>
      <w:r w:rsidRPr="005511E3">
        <w:rPr>
          <w:color w:val="021142"/>
          <w:spacing w:val="1"/>
          <w:lang w:val="el-GR"/>
        </w:rPr>
        <w:t xml:space="preserve"> </w:t>
      </w:r>
      <w:r w:rsidRPr="005511E3">
        <w:rPr>
          <w:color w:val="021142"/>
          <w:lang w:val="el-GR"/>
        </w:rPr>
        <w:t>και απαιτήσεις από πελάτες τα οποία θεωρούνται μη εξυπηρετούμενα, παρόλο που είτε είναι ενήμερα, είτε είναι</w:t>
      </w:r>
      <w:r w:rsidRPr="005511E3">
        <w:rPr>
          <w:color w:val="021142"/>
          <w:spacing w:val="1"/>
          <w:lang w:val="el-GR"/>
        </w:rPr>
        <w:t xml:space="preserve"> </w:t>
      </w:r>
      <w:r w:rsidRPr="005511E3">
        <w:rPr>
          <w:color w:val="021142"/>
          <w:lang w:val="el-GR"/>
        </w:rPr>
        <w:t>σε καθυστέρηση μέχρι 90 ημέρες, καθώς υπάρχουν ενδείξεις για δυσκολίες πλήρους αποπληρωμής χωρίς τη</w:t>
      </w:r>
      <w:r w:rsidRPr="005511E3">
        <w:rPr>
          <w:color w:val="021142"/>
          <w:spacing w:val="1"/>
          <w:lang w:val="el-GR"/>
        </w:rPr>
        <w:t xml:space="preserve"> </w:t>
      </w:r>
      <w:r w:rsidRPr="005511E3">
        <w:rPr>
          <w:color w:val="021142"/>
          <w:lang w:val="el-GR"/>
        </w:rPr>
        <w:t>ρευστοποίηση</w:t>
      </w:r>
      <w:r w:rsidRPr="005511E3">
        <w:rPr>
          <w:color w:val="021142"/>
          <w:spacing w:val="-7"/>
          <w:lang w:val="el-GR"/>
        </w:rPr>
        <w:t xml:space="preserve"> </w:t>
      </w:r>
      <w:r w:rsidRPr="005511E3">
        <w:rPr>
          <w:color w:val="021142"/>
          <w:lang w:val="el-GR"/>
        </w:rPr>
        <w:t>της</w:t>
      </w:r>
      <w:r w:rsidRPr="005511E3">
        <w:rPr>
          <w:color w:val="021142"/>
          <w:spacing w:val="-6"/>
          <w:lang w:val="el-GR"/>
        </w:rPr>
        <w:t xml:space="preserve"> </w:t>
      </w:r>
      <w:r w:rsidRPr="005511E3">
        <w:rPr>
          <w:color w:val="021142"/>
          <w:lang w:val="el-GR"/>
        </w:rPr>
        <w:t>εξασφάλισης.</w:t>
      </w:r>
      <w:r w:rsidRPr="005511E3">
        <w:rPr>
          <w:color w:val="021142"/>
          <w:spacing w:val="-7"/>
          <w:lang w:val="el-GR"/>
        </w:rPr>
        <w:t xml:space="preserve"> </w:t>
      </w:r>
      <w:r w:rsidRPr="005511E3">
        <w:rPr>
          <w:color w:val="021142"/>
          <w:lang w:val="el-GR"/>
        </w:rPr>
        <w:t>Τα</w:t>
      </w:r>
      <w:r w:rsidRPr="005511E3">
        <w:rPr>
          <w:color w:val="021142"/>
          <w:spacing w:val="-6"/>
          <w:lang w:val="el-GR"/>
        </w:rPr>
        <w:t xml:space="preserve"> </w:t>
      </w:r>
      <w:r>
        <w:rPr>
          <w:color w:val="021142"/>
        </w:rPr>
        <w:t>NPE</w:t>
      </w:r>
      <w:r w:rsidRPr="005511E3">
        <w:rPr>
          <w:color w:val="021142"/>
          <w:lang w:val="el-GR"/>
        </w:rPr>
        <w:t>,</w:t>
      </w:r>
      <w:r w:rsidRPr="005511E3">
        <w:rPr>
          <w:color w:val="021142"/>
          <w:spacing w:val="-7"/>
          <w:lang w:val="el-GR"/>
        </w:rPr>
        <w:t xml:space="preserve"> </w:t>
      </w:r>
      <w:r w:rsidRPr="005511E3">
        <w:rPr>
          <w:color w:val="021142"/>
          <w:lang w:val="el-GR"/>
        </w:rPr>
        <w:t>όπως</w:t>
      </w:r>
      <w:r w:rsidRPr="005511E3">
        <w:rPr>
          <w:color w:val="021142"/>
          <w:spacing w:val="-6"/>
          <w:lang w:val="el-GR"/>
        </w:rPr>
        <w:t xml:space="preserve"> </w:t>
      </w:r>
      <w:r w:rsidRPr="005511E3">
        <w:rPr>
          <w:color w:val="021142"/>
          <w:lang w:val="el-GR"/>
        </w:rPr>
        <w:t>αναφέρονται</w:t>
      </w:r>
      <w:r w:rsidRPr="005511E3">
        <w:rPr>
          <w:color w:val="021142"/>
          <w:spacing w:val="-6"/>
          <w:lang w:val="el-GR"/>
        </w:rPr>
        <w:t xml:space="preserve"> </w:t>
      </w:r>
      <w:r w:rsidRPr="005511E3">
        <w:rPr>
          <w:color w:val="021142"/>
          <w:lang w:val="el-GR"/>
        </w:rPr>
        <w:t>στο</w:t>
      </w:r>
      <w:r w:rsidRPr="005511E3">
        <w:rPr>
          <w:color w:val="021142"/>
          <w:spacing w:val="-7"/>
          <w:lang w:val="el-GR"/>
        </w:rPr>
        <w:t xml:space="preserve"> </w:t>
      </w:r>
      <w:r w:rsidRPr="005511E3">
        <w:rPr>
          <w:color w:val="021142"/>
          <w:lang w:val="el-GR"/>
        </w:rPr>
        <w:t>παρόν,</w:t>
      </w:r>
      <w:r w:rsidRPr="005511E3">
        <w:rPr>
          <w:color w:val="021142"/>
          <w:spacing w:val="-6"/>
          <w:lang w:val="el-GR"/>
        </w:rPr>
        <w:t xml:space="preserve"> </w:t>
      </w:r>
      <w:r w:rsidRPr="005511E3">
        <w:rPr>
          <w:color w:val="021142"/>
          <w:lang w:val="el-GR"/>
        </w:rPr>
        <w:t>αφορούν</w:t>
      </w:r>
      <w:r w:rsidRPr="005511E3">
        <w:rPr>
          <w:color w:val="021142"/>
          <w:spacing w:val="-7"/>
          <w:lang w:val="el-GR"/>
        </w:rPr>
        <w:t xml:space="preserve"> </w:t>
      </w:r>
      <w:r w:rsidRPr="005511E3">
        <w:rPr>
          <w:color w:val="021142"/>
          <w:lang w:val="el-GR"/>
        </w:rPr>
        <w:t>τα</w:t>
      </w:r>
      <w:r w:rsidRPr="005511E3">
        <w:rPr>
          <w:color w:val="021142"/>
          <w:spacing w:val="-6"/>
          <w:lang w:val="el-GR"/>
        </w:rPr>
        <w:t xml:space="preserve"> </w:t>
      </w:r>
      <w:r w:rsidRPr="005511E3">
        <w:rPr>
          <w:color w:val="021142"/>
          <w:lang w:val="el-GR"/>
        </w:rPr>
        <w:t>δάνεια</w:t>
      </w:r>
      <w:r w:rsidRPr="005511E3">
        <w:rPr>
          <w:color w:val="021142"/>
          <w:spacing w:val="-7"/>
          <w:lang w:val="el-GR"/>
        </w:rPr>
        <w:t xml:space="preserve"> </w:t>
      </w:r>
      <w:r w:rsidRPr="005511E3">
        <w:rPr>
          <w:color w:val="021142"/>
          <w:lang w:val="el-GR"/>
        </w:rPr>
        <w:t>(προ</w:t>
      </w:r>
      <w:r w:rsidRPr="005511E3">
        <w:rPr>
          <w:color w:val="021142"/>
          <w:spacing w:val="-6"/>
          <w:lang w:val="el-GR"/>
        </w:rPr>
        <w:t xml:space="preserve"> </w:t>
      </w:r>
      <w:r w:rsidRPr="005511E3">
        <w:rPr>
          <w:color w:val="021142"/>
          <w:lang w:val="el-GR"/>
        </w:rPr>
        <w:t>προβλέψεων)</w:t>
      </w:r>
      <w:r w:rsidRPr="005511E3">
        <w:rPr>
          <w:color w:val="021142"/>
          <w:spacing w:val="-52"/>
          <w:lang w:val="el-GR"/>
        </w:rPr>
        <w:t xml:space="preserve"> </w:t>
      </w:r>
      <w:r w:rsidRPr="005511E3">
        <w:rPr>
          <w:color w:val="021142"/>
          <w:lang w:val="el-GR"/>
        </w:rPr>
        <w:t>που</w:t>
      </w:r>
      <w:r w:rsidRPr="005511E3">
        <w:rPr>
          <w:color w:val="021142"/>
          <w:spacing w:val="-9"/>
          <w:lang w:val="el-GR"/>
        </w:rPr>
        <w:t xml:space="preserve"> </w:t>
      </w:r>
      <w:r w:rsidRPr="005511E3">
        <w:rPr>
          <w:color w:val="021142"/>
          <w:lang w:val="el-GR"/>
        </w:rPr>
        <w:t>επιμετρώνται</w:t>
      </w:r>
      <w:r w:rsidRPr="005511E3">
        <w:rPr>
          <w:color w:val="021142"/>
          <w:spacing w:val="-9"/>
          <w:lang w:val="el-GR"/>
        </w:rPr>
        <w:t xml:space="preserve"> </w:t>
      </w:r>
      <w:r w:rsidRPr="005511E3">
        <w:rPr>
          <w:color w:val="021142"/>
          <w:lang w:val="el-GR"/>
        </w:rPr>
        <w:t>στο</w:t>
      </w:r>
      <w:r w:rsidRPr="005511E3">
        <w:rPr>
          <w:color w:val="021142"/>
          <w:spacing w:val="-8"/>
          <w:lang w:val="el-GR"/>
        </w:rPr>
        <w:t xml:space="preserve"> </w:t>
      </w:r>
      <w:r w:rsidRPr="005511E3">
        <w:rPr>
          <w:color w:val="021142"/>
          <w:lang w:val="el-GR"/>
        </w:rPr>
        <w:t>αποσβέσιμο</w:t>
      </w:r>
      <w:r w:rsidRPr="005511E3">
        <w:rPr>
          <w:color w:val="021142"/>
          <w:spacing w:val="-9"/>
          <w:lang w:val="el-GR"/>
        </w:rPr>
        <w:t xml:space="preserve"> </w:t>
      </w:r>
      <w:r w:rsidRPr="005511E3">
        <w:rPr>
          <w:color w:val="021142"/>
          <w:lang w:val="el-GR"/>
        </w:rPr>
        <w:t>κόστος,</w:t>
      </w:r>
      <w:r w:rsidRPr="005511E3">
        <w:rPr>
          <w:color w:val="021142"/>
          <w:spacing w:val="-8"/>
          <w:lang w:val="el-GR"/>
        </w:rPr>
        <w:t xml:space="preserve"> </w:t>
      </w:r>
      <w:r w:rsidRPr="005511E3">
        <w:rPr>
          <w:color w:val="021142"/>
          <w:lang w:val="el-GR"/>
        </w:rPr>
        <w:t>εκτός</w:t>
      </w:r>
      <w:r w:rsidRPr="005511E3">
        <w:rPr>
          <w:color w:val="021142"/>
          <w:spacing w:val="-9"/>
          <w:lang w:val="el-GR"/>
        </w:rPr>
        <w:t xml:space="preserve"> </w:t>
      </w:r>
      <w:r w:rsidRPr="005511E3">
        <w:rPr>
          <w:color w:val="021142"/>
          <w:lang w:val="el-GR"/>
        </w:rPr>
        <w:t>εκείνων</w:t>
      </w:r>
      <w:r w:rsidRPr="005511E3">
        <w:rPr>
          <w:color w:val="021142"/>
          <w:spacing w:val="-9"/>
          <w:lang w:val="el-GR"/>
        </w:rPr>
        <w:t xml:space="preserve"> </w:t>
      </w:r>
      <w:r w:rsidRPr="005511E3">
        <w:rPr>
          <w:color w:val="021142"/>
          <w:lang w:val="el-GR"/>
        </w:rPr>
        <w:t>που</w:t>
      </w:r>
      <w:r w:rsidRPr="005511E3">
        <w:rPr>
          <w:color w:val="021142"/>
          <w:spacing w:val="-8"/>
          <w:lang w:val="el-GR"/>
        </w:rPr>
        <w:t xml:space="preserve"> </w:t>
      </w:r>
      <w:r w:rsidRPr="005511E3">
        <w:rPr>
          <w:color w:val="021142"/>
          <w:lang w:val="el-GR"/>
        </w:rPr>
        <w:t>έχουν</w:t>
      </w:r>
      <w:r w:rsidRPr="005511E3">
        <w:rPr>
          <w:color w:val="021142"/>
          <w:spacing w:val="-9"/>
          <w:lang w:val="el-GR"/>
        </w:rPr>
        <w:t xml:space="preserve"> </w:t>
      </w:r>
      <w:r w:rsidRPr="005511E3">
        <w:rPr>
          <w:color w:val="021142"/>
          <w:lang w:val="el-GR"/>
        </w:rPr>
        <w:t>ταξινομηθεί</w:t>
      </w:r>
      <w:r w:rsidRPr="005511E3">
        <w:rPr>
          <w:color w:val="021142"/>
          <w:spacing w:val="-8"/>
          <w:lang w:val="el-GR"/>
        </w:rPr>
        <w:t xml:space="preserve"> </w:t>
      </w:r>
      <w:r w:rsidRPr="005511E3">
        <w:rPr>
          <w:color w:val="021142"/>
          <w:lang w:val="el-GR"/>
        </w:rPr>
        <w:t>ως</w:t>
      </w:r>
      <w:r w:rsidRPr="005511E3">
        <w:rPr>
          <w:color w:val="021142"/>
          <w:spacing w:val="-9"/>
          <w:lang w:val="el-GR"/>
        </w:rPr>
        <w:t xml:space="preserve"> </w:t>
      </w:r>
      <w:r w:rsidRPr="005511E3">
        <w:rPr>
          <w:color w:val="021142"/>
          <w:lang w:val="el-GR"/>
        </w:rPr>
        <w:t>κατεχόμενα</w:t>
      </w:r>
      <w:r w:rsidRPr="005511E3">
        <w:rPr>
          <w:color w:val="021142"/>
          <w:spacing w:val="-9"/>
          <w:lang w:val="el-GR"/>
        </w:rPr>
        <w:t xml:space="preserve"> </w:t>
      </w:r>
      <w:r w:rsidRPr="005511E3">
        <w:rPr>
          <w:color w:val="021142"/>
          <w:lang w:val="el-GR"/>
        </w:rPr>
        <w:t>προς</w:t>
      </w:r>
      <w:r w:rsidRPr="005511E3">
        <w:rPr>
          <w:color w:val="021142"/>
          <w:spacing w:val="-8"/>
          <w:lang w:val="el-GR"/>
        </w:rPr>
        <w:t xml:space="preserve"> </w:t>
      </w:r>
      <w:r w:rsidRPr="005511E3">
        <w:rPr>
          <w:color w:val="021142"/>
          <w:lang w:val="el-GR"/>
        </w:rPr>
        <w:t>πώληση.</w:t>
      </w:r>
    </w:p>
    <w:p w14:paraId="7D25A2C2" w14:textId="2347B040" w:rsidR="00852D18" w:rsidRPr="005511E3" w:rsidRDefault="005511E3" w:rsidP="0063742F">
      <w:pPr>
        <w:pStyle w:val="ListParagraph"/>
        <w:numPr>
          <w:ilvl w:val="0"/>
          <w:numId w:val="20"/>
        </w:numPr>
        <w:tabs>
          <w:tab w:val="left" w:pos="396"/>
        </w:tabs>
        <w:spacing w:before="92" w:line="242" w:lineRule="auto"/>
        <w:rPr>
          <w:lang w:val="el-GR"/>
        </w:rPr>
      </w:pPr>
      <w:r>
        <w:rPr>
          <w:b/>
          <w:color w:val="021142"/>
        </w:rPr>
        <w:t>NPE</w:t>
      </w:r>
      <w:r w:rsidRPr="005511E3">
        <w:rPr>
          <w:b/>
          <w:color w:val="021142"/>
          <w:spacing w:val="-9"/>
          <w:lang w:val="el-GR"/>
        </w:rPr>
        <w:t xml:space="preserve"> </w:t>
      </w:r>
      <w:r w:rsidRPr="005511E3">
        <w:rPr>
          <w:b/>
          <w:color w:val="021142"/>
          <w:lang w:val="el-GR"/>
        </w:rPr>
        <w:t>(σχηματισμός):</w:t>
      </w:r>
      <w:r w:rsidRPr="005511E3">
        <w:rPr>
          <w:b/>
          <w:color w:val="021142"/>
          <w:spacing w:val="-9"/>
          <w:lang w:val="el-GR"/>
        </w:rPr>
        <w:t xml:space="preserve"> </w:t>
      </w:r>
      <w:r w:rsidRPr="005511E3">
        <w:rPr>
          <w:color w:val="021142"/>
          <w:lang w:val="el-GR"/>
        </w:rPr>
        <w:t>Καθαρή</w:t>
      </w:r>
      <w:r w:rsidRPr="005511E3">
        <w:rPr>
          <w:color w:val="021142"/>
          <w:spacing w:val="-8"/>
          <w:lang w:val="el-GR"/>
        </w:rPr>
        <w:t xml:space="preserve"> </w:t>
      </w:r>
      <w:r w:rsidRPr="005511E3">
        <w:rPr>
          <w:color w:val="021142"/>
          <w:lang w:val="el-GR"/>
        </w:rPr>
        <w:t>αύξηση/μείωση</w:t>
      </w:r>
      <w:r w:rsidRPr="005511E3">
        <w:rPr>
          <w:color w:val="021142"/>
          <w:spacing w:val="-9"/>
          <w:lang w:val="el-GR"/>
        </w:rPr>
        <w:t xml:space="preserve"> </w:t>
      </w:r>
      <w:r w:rsidRPr="005511E3">
        <w:rPr>
          <w:color w:val="021142"/>
          <w:lang w:val="el-GR"/>
        </w:rPr>
        <w:t>των</w:t>
      </w:r>
      <w:r w:rsidRPr="005511E3">
        <w:rPr>
          <w:color w:val="021142"/>
          <w:spacing w:val="-8"/>
          <w:lang w:val="el-GR"/>
        </w:rPr>
        <w:t xml:space="preserve"> </w:t>
      </w:r>
      <w:r>
        <w:rPr>
          <w:color w:val="021142"/>
        </w:rPr>
        <w:t>NPE</w:t>
      </w:r>
      <w:r w:rsidRPr="005511E3">
        <w:rPr>
          <w:color w:val="021142"/>
          <w:spacing w:val="-9"/>
          <w:lang w:val="el-GR"/>
        </w:rPr>
        <w:t xml:space="preserve"> </w:t>
      </w:r>
      <w:r w:rsidRPr="005511E3">
        <w:rPr>
          <w:color w:val="021142"/>
          <w:lang w:val="el-GR"/>
        </w:rPr>
        <w:t>της</w:t>
      </w:r>
      <w:r w:rsidRPr="005511E3">
        <w:rPr>
          <w:color w:val="021142"/>
          <w:spacing w:val="-8"/>
          <w:lang w:val="el-GR"/>
        </w:rPr>
        <w:t xml:space="preserve"> </w:t>
      </w:r>
      <w:r w:rsidRPr="005511E3">
        <w:rPr>
          <w:color w:val="021142"/>
          <w:lang w:val="el-GR"/>
        </w:rPr>
        <w:t>υπό</w:t>
      </w:r>
      <w:r w:rsidRPr="005511E3">
        <w:rPr>
          <w:color w:val="021142"/>
          <w:spacing w:val="-8"/>
          <w:lang w:val="el-GR"/>
        </w:rPr>
        <w:t xml:space="preserve"> </w:t>
      </w:r>
      <w:r w:rsidRPr="005511E3">
        <w:rPr>
          <w:color w:val="021142"/>
          <w:lang w:val="el-GR"/>
        </w:rPr>
        <w:t>εξέταση</w:t>
      </w:r>
      <w:r w:rsidRPr="005511E3">
        <w:rPr>
          <w:color w:val="021142"/>
          <w:spacing w:val="-9"/>
          <w:lang w:val="el-GR"/>
        </w:rPr>
        <w:t xml:space="preserve"> </w:t>
      </w:r>
      <w:r w:rsidRPr="005511E3">
        <w:rPr>
          <w:color w:val="021142"/>
          <w:lang w:val="el-GR"/>
        </w:rPr>
        <w:t>περιόδου</w:t>
      </w:r>
      <w:r w:rsidRPr="005511E3">
        <w:rPr>
          <w:color w:val="021142"/>
          <w:spacing w:val="-8"/>
          <w:lang w:val="el-GR"/>
        </w:rPr>
        <w:t xml:space="preserve"> </w:t>
      </w:r>
      <w:r w:rsidRPr="005511E3">
        <w:rPr>
          <w:color w:val="021142"/>
          <w:lang w:val="el-GR"/>
        </w:rPr>
        <w:t>εξαιρουμένης</w:t>
      </w:r>
      <w:r w:rsidRPr="005511E3">
        <w:rPr>
          <w:color w:val="021142"/>
          <w:spacing w:val="-9"/>
          <w:lang w:val="el-GR"/>
        </w:rPr>
        <w:t xml:space="preserve"> </w:t>
      </w:r>
      <w:r w:rsidRPr="005511E3">
        <w:rPr>
          <w:color w:val="021142"/>
          <w:lang w:val="el-GR"/>
        </w:rPr>
        <w:t>της</w:t>
      </w:r>
      <w:r w:rsidRPr="005511E3">
        <w:rPr>
          <w:color w:val="021142"/>
          <w:spacing w:val="-8"/>
          <w:lang w:val="el-GR"/>
        </w:rPr>
        <w:t xml:space="preserve"> </w:t>
      </w:r>
      <w:r w:rsidRPr="005511E3">
        <w:rPr>
          <w:color w:val="021142"/>
          <w:lang w:val="el-GR"/>
        </w:rPr>
        <w:t>επίπτωσης</w:t>
      </w:r>
      <w:r w:rsidRPr="005511E3">
        <w:rPr>
          <w:color w:val="021142"/>
          <w:spacing w:val="-52"/>
          <w:lang w:val="el-GR"/>
        </w:rPr>
        <w:t xml:space="preserve"> </w:t>
      </w:r>
      <w:r w:rsidRPr="005511E3">
        <w:rPr>
          <w:color w:val="021142"/>
          <w:lang w:val="el-GR"/>
        </w:rPr>
        <w:t>των</w:t>
      </w:r>
      <w:r w:rsidRPr="005511E3">
        <w:rPr>
          <w:color w:val="021142"/>
          <w:spacing w:val="-2"/>
          <w:lang w:val="el-GR"/>
        </w:rPr>
        <w:t xml:space="preserve"> </w:t>
      </w:r>
      <w:r w:rsidRPr="005511E3">
        <w:rPr>
          <w:color w:val="021142"/>
          <w:lang w:val="el-GR"/>
        </w:rPr>
        <w:t>διαγραφών,</w:t>
      </w:r>
      <w:r w:rsidRPr="005511E3">
        <w:rPr>
          <w:color w:val="021142"/>
          <w:spacing w:val="-1"/>
          <w:lang w:val="el-GR"/>
        </w:rPr>
        <w:t xml:space="preserve"> </w:t>
      </w:r>
      <w:r w:rsidRPr="005511E3">
        <w:rPr>
          <w:color w:val="021142"/>
          <w:lang w:val="el-GR"/>
        </w:rPr>
        <w:t>των</w:t>
      </w:r>
      <w:r w:rsidRPr="005511E3">
        <w:rPr>
          <w:color w:val="021142"/>
          <w:spacing w:val="-1"/>
          <w:lang w:val="el-GR"/>
        </w:rPr>
        <w:t xml:space="preserve"> </w:t>
      </w:r>
      <w:r w:rsidRPr="005511E3">
        <w:rPr>
          <w:color w:val="021142"/>
          <w:lang w:val="el-GR"/>
        </w:rPr>
        <w:t>πωλήσεων</w:t>
      </w:r>
      <w:r w:rsidRPr="005511E3">
        <w:rPr>
          <w:color w:val="021142"/>
          <w:spacing w:val="-1"/>
          <w:lang w:val="el-GR"/>
        </w:rPr>
        <w:t xml:space="preserve"> </w:t>
      </w:r>
      <w:r w:rsidRPr="005511E3">
        <w:rPr>
          <w:color w:val="021142"/>
          <w:lang w:val="el-GR"/>
        </w:rPr>
        <w:t>και</w:t>
      </w:r>
      <w:r w:rsidRPr="005511E3">
        <w:rPr>
          <w:color w:val="021142"/>
          <w:spacing w:val="-2"/>
          <w:lang w:val="el-GR"/>
        </w:rPr>
        <w:t xml:space="preserve"> </w:t>
      </w:r>
      <w:r w:rsidRPr="005511E3">
        <w:rPr>
          <w:color w:val="021142"/>
          <w:lang w:val="el-GR"/>
        </w:rPr>
        <w:t>λοιπών</w:t>
      </w:r>
      <w:r w:rsidRPr="005511E3">
        <w:rPr>
          <w:color w:val="021142"/>
          <w:spacing w:val="-1"/>
          <w:lang w:val="el-GR"/>
        </w:rPr>
        <w:t xml:space="preserve"> </w:t>
      </w:r>
      <w:r w:rsidRPr="005511E3">
        <w:rPr>
          <w:color w:val="021142"/>
          <w:lang w:val="el-GR"/>
        </w:rPr>
        <w:t>μεταβολών.</w:t>
      </w:r>
    </w:p>
    <w:p w14:paraId="27E1F359" w14:textId="77777777" w:rsidR="00852D18" w:rsidRPr="00A404AB" w:rsidRDefault="005511E3" w:rsidP="0063742F">
      <w:pPr>
        <w:pStyle w:val="ListParagraph"/>
        <w:numPr>
          <w:ilvl w:val="0"/>
          <w:numId w:val="20"/>
        </w:numPr>
        <w:tabs>
          <w:tab w:val="left" w:pos="415"/>
        </w:tabs>
        <w:spacing w:before="105" w:line="247" w:lineRule="auto"/>
        <w:rPr>
          <w:lang w:val="el-GR"/>
        </w:rPr>
      </w:pPr>
      <w:r w:rsidRPr="005511E3">
        <w:rPr>
          <w:b/>
          <w:color w:val="021142"/>
          <w:lang w:val="el-GR"/>
        </w:rPr>
        <w:t>Οργανικά κέρδη προ προβλέψεων (</w:t>
      </w:r>
      <w:r>
        <w:rPr>
          <w:b/>
          <w:color w:val="021142"/>
        </w:rPr>
        <w:t>Core</w:t>
      </w:r>
      <w:r w:rsidRPr="005511E3">
        <w:rPr>
          <w:b/>
          <w:color w:val="021142"/>
          <w:lang w:val="el-GR"/>
        </w:rPr>
        <w:t xml:space="preserve"> </w:t>
      </w:r>
      <w:r>
        <w:rPr>
          <w:b/>
          <w:color w:val="021142"/>
        </w:rPr>
        <w:t>PPI</w:t>
      </w:r>
      <w:r w:rsidRPr="005511E3">
        <w:rPr>
          <w:b/>
          <w:color w:val="021142"/>
          <w:lang w:val="el-GR"/>
        </w:rPr>
        <w:t xml:space="preserve">): </w:t>
      </w:r>
      <w:r w:rsidRPr="005511E3">
        <w:rPr>
          <w:color w:val="021142"/>
          <w:lang w:val="el-GR"/>
        </w:rPr>
        <w:t>Το σύνολο των καθαρών εσόδων από τόκους, των καθαρών</w:t>
      </w:r>
      <w:r w:rsidRPr="005511E3">
        <w:rPr>
          <w:color w:val="021142"/>
          <w:spacing w:val="1"/>
          <w:lang w:val="el-GR"/>
        </w:rPr>
        <w:t xml:space="preserve"> </w:t>
      </w:r>
      <w:r w:rsidRPr="005511E3">
        <w:rPr>
          <w:color w:val="021142"/>
          <w:lang w:val="el-GR"/>
        </w:rPr>
        <w:t>εσόδων</w:t>
      </w:r>
      <w:r w:rsidRPr="005511E3">
        <w:rPr>
          <w:color w:val="021142"/>
          <w:spacing w:val="-13"/>
          <w:lang w:val="el-GR"/>
        </w:rPr>
        <w:t xml:space="preserve"> </w:t>
      </w:r>
      <w:r w:rsidRPr="005511E3">
        <w:rPr>
          <w:color w:val="021142"/>
          <w:lang w:val="el-GR"/>
        </w:rPr>
        <w:t>από</w:t>
      </w:r>
      <w:r w:rsidRPr="005511E3">
        <w:rPr>
          <w:color w:val="021142"/>
          <w:spacing w:val="-12"/>
          <w:lang w:val="el-GR"/>
        </w:rPr>
        <w:t xml:space="preserve"> </w:t>
      </w:r>
      <w:r w:rsidRPr="005511E3">
        <w:rPr>
          <w:color w:val="021142"/>
          <w:lang w:val="el-GR"/>
        </w:rPr>
        <w:t>τραπεζικές</w:t>
      </w:r>
      <w:r w:rsidRPr="005511E3">
        <w:rPr>
          <w:color w:val="021142"/>
          <w:spacing w:val="-12"/>
          <w:lang w:val="el-GR"/>
        </w:rPr>
        <w:t xml:space="preserve"> </w:t>
      </w:r>
      <w:r w:rsidRPr="005511E3">
        <w:rPr>
          <w:color w:val="021142"/>
          <w:lang w:val="el-GR"/>
        </w:rPr>
        <w:t>αμοιβές</w:t>
      </w:r>
      <w:r w:rsidRPr="005511E3">
        <w:rPr>
          <w:color w:val="021142"/>
          <w:spacing w:val="-13"/>
          <w:lang w:val="el-GR"/>
        </w:rPr>
        <w:t xml:space="preserve"> </w:t>
      </w:r>
      <w:r w:rsidRPr="005511E3">
        <w:rPr>
          <w:color w:val="021142"/>
          <w:lang w:val="el-GR"/>
        </w:rPr>
        <w:t>και</w:t>
      </w:r>
      <w:r w:rsidRPr="005511E3">
        <w:rPr>
          <w:color w:val="021142"/>
          <w:spacing w:val="-12"/>
          <w:lang w:val="el-GR"/>
        </w:rPr>
        <w:t xml:space="preserve"> </w:t>
      </w:r>
      <w:r w:rsidRPr="005511E3">
        <w:rPr>
          <w:color w:val="021142"/>
          <w:lang w:val="el-GR"/>
        </w:rPr>
        <w:t>προμήθειες</w:t>
      </w:r>
      <w:r w:rsidRPr="005511E3">
        <w:rPr>
          <w:color w:val="021142"/>
          <w:spacing w:val="-12"/>
          <w:lang w:val="el-GR"/>
        </w:rPr>
        <w:t xml:space="preserve"> </w:t>
      </w:r>
      <w:r w:rsidRPr="005511E3">
        <w:rPr>
          <w:color w:val="021142"/>
          <w:lang w:val="el-GR"/>
        </w:rPr>
        <w:t>και</w:t>
      </w:r>
      <w:r w:rsidRPr="005511E3">
        <w:rPr>
          <w:color w:val="021142"/>
          <w:spacing w:val="-13"/>
          <w:lang w:val="el-GR"/>
        </w:rPr>
        <w:t xml:space="preserve"> </w:t>
      </w:r>
      <w:r w:rsidRPr="005511E3">
        <w:rPr>
          <w:color w:val="021142"/>
          <w:lang w:val="el-GR"/>
        </w:rPr>
        <w:t>των</w:t>
      </w:r>
      <w:r w:rsidRPr="005511E3">
        <w:rPr>
          <w:color w:val="021142"/>
          <w:spacing w:val="-12"/>
          <w:lang w:val="el-GR"/>
        </w:rPr>
        <w:t xml:space="preserve"> </w:t>
      </w:r>
      <w:r w:rsidRPr="005511E3">
        <w:rPr>
          <w:color w:val="021142"/>
          <w:lang w:val="el-GR"/>
        </w:rPr>
        <w:t>εσόδων</w:t>
      </w:r>
      <w:r w:rsidRPr="005511E3">
        <w:rPr>
          <w:color w:val="021142"/>
          <w:spacing w:val="-12"/>
          <w:lang w:val="el-GR"/>
        </w:rPr>
        <w:t xml:space="preserve"> </w:t>
      </w:r>
      <w:r w:rsidRPr="005511E3">
        <w:rPr>
          <w:color w:val="021142"/>
          <w:lang w:val="el-GR"/>
        </w:rPr>
        <w:t>από</w:t>
      </w:r>
      <w:r w:rsidRPr="005511E3">
        <w:rPr>
          <w:color w:val="021142"/>
          <w:spacing w:val="-13"/>
          <w:lang w:val="el-GR"/>
        </w:rPr>
        <w:t xml:space="preserve"> </w:t>
      </w:r>
      <w:r w:rsidRPr="005511E3">
        <w:rPr>
          <w:color w:val="021142"/>
          <w:lang w:val="el-GR"/>
        </w:rPr>
        <w:t>μη</w:t>
      </w:r>
      <w:r w:rsidRPr="005511E3">
        <w:rPr>
          <w:color w:val="021142"/>
          <w:spacing w:val="-12"/>
          <w:lang w:val="el-GR"/>
        </w:rPr>
        <w:t xml:space="preserve"> </w:t>
      </w:r>
      <w:r w:rsidRPr="005511E3">
        <w:rPr>
          <w:color w:val="021142"/>
          <w:lang w:val="el-GR"/>
        </w:rPr>
        <w:t>τραπεζικές</w:t>
      </w:r>
      <w:r w:rsidRPr="005511E3">
        <w:rPr>
          <w:color w:val="021142"/>
          <w:spacing w:val="-12"/>
          <w:lang w:val="el-GR"/>
        </w:rPr>
        <w:t xml:space="preserve"> </w:t>
      </w:r>
      <w:r w:rsidRPr="005511E3">
        <w:rPr>
          <w:color w:val="021142"/>
          <w:lang w:val="el-GR"/>
        </w:rPr>
        <w:t>υπηρεσίες</w:t>
      </w:r>
      <w:r w:rsidRPr="005511E3">
        <w:rPr>
          <w:color w:val="021142"/>
          <w:spacing w:val="-13"/>
          <w:lang w:val="el-GR"/>
        </w:rPr>
        <w:t xml:space="preserve"> </w:t>
      </w:r>
      <w:r w:rsidRPr="005511E3">
        <w:rPr>
          <w:color w:val="021142"/>
          <w:lang w:val="el-GR"/>
        </w:rPr>
        <w:t>αφαιρουμένων</w:t>
      </w:r>
      <w:r w:rsidRPr="005511E3">
        <w:rPr>
          <w:color w:val="021142"/>
          <w:spacing w:val="-12"/>
          <w:lang w:val="el-GR"/>
        </w:rPr>
        <w:t xml:space="preserve"> </w:t>
      </w:r>
      <w:r w:rsidRPr="005511E3">
        <w:rPr>
          <w:color w:val="021142"/>
          <w:lang w:val="el-GR"/>
        </w:rPr>
        <w:t>των</w:t>
      </w:r>
      <w:r w:rsidRPr="005511E3">
        <w:rPr>
          <w:color w:val="021142"/>
          <w:spacing w:val="-52"/>
          <w:lang w:val="el-GR"/>
        </w:rPr>
        <w:t xml:space="preserve"> </w:t>
      </w:r>
      <w:r w:rsidRPr="005511E3">
        <w:rPr>
          <w:color w:val="021142"/>
          <w:lang w:val="el-GR"/>
        </w:rPr>
        <w:t>λειτουργικών</w:t>
      </w:r>
      <w:r w:rsidRPr="005511E3">
        <w:rPr>
          <w:color w:val="021142"/>
          <w:spacing w:val="-1"/>
          <w:lang w:val="el-GR"/>
        </w:rPr>
        <w:t xml:space="preserve"> </w:t>
      </w:r>
      <w:r w:rsidRPr="005511E3">
        <w:rPr>
          <w:color w:val="021142"/>
          <w:lang w:val="el-GR"/>
        </w:rPr>
        <w:t>εξόδων</w:t>
      </w:r>
      <w:r w:rsidRPr="005511E3">
        <w:rPr>
          <w:color w:val="021142"/>
          <w:spacing w:val="-1"/>
          <w:lang w:val="el-GR"/>
        </w:rPr>
        <w:t xml:space="preserve"> </w:t>
      </w:r>
      <w:r w:rsidRPr="005511E3">
        <w:rPr>
          <w:color w:val="021142"/>
          <w:lang w:val="el-GR"/>
        </w:rPr>
        <w:t>της</w:t>
      </w:r>
      <w:r w:rsidRPr="005511E3">
        <w:rPr>
          <w:color w:val="021142"/>
          <w:spacing w:val="-1"/>
          <w:lang w:val="el-GR"/>
        </w:rPr>
        <w:t xml:space="preserve"> </w:t>
      </w:r>
      <w:r w:rsidRPr="005511E3">
        <w:rPr>
          <w:color w:val="021142"/>
          <w:lang w:val="el-GR"/>
        </w:rPr>
        <w:t>υπό εξέταση</w:t>
      </w:r>
      <w:r w:rsidRPr="005511E3">
        <w:rPr>
          <w:color w:val="021142"/>
          <w:spacing w:val="-1"/>
          <w:lang w:val="el-GR"/>
        </w:rPr>
        <w:t xml:space="preserve"> </w:t>
      </w:r>
      <w:r w:rsidRPr="005511E3">
        <w:rPr>
          <w:color w:val="021142"/>
          <w:lang w:val="el-GR"/>
        </w:rPr>
        <w:t>περιόδου.</w:t>
      </w:r>
    </w:p>
    <w:p w14:paraId="22417560" w14:textId="77777777" w:rsidR="008E0428" w:rsidRPr="008E0428" w:rsidRDefault="00A404AB" w:rsidP="0063742F">
      <w:pPr>
        <w:pStyle w:val="ListParagraph"/>
        <w:numPr>
          <w:ilvl w:val="0"/>
          <w:numId w:val="20"/>
        </w:numPr>
        <w:tabs>
          <w:tab w:val="left" w:pos="415"/>
        </w:tabs>
        <w:spacing w:before="105" w:line="247" w:lineRule="auto"/>
        <w:rPr>
          <w:lang w:val="el-GR"/>
        </w:rPr>
      </w:pPr>
      <w:r>
        <w:rPr>
          <w:b/>
          <w:color w:val="021142"/>
          <w:lang w:val="el-GR"/>
        </w:rPr>
        <w:t>Οργανικά λειτουργικά κέρδη</w:t>
      </w:r>
      <w:r w:rsidRPr="00A404AB">
        <w:rPr>
          <w:b/>
          <w:color w:val="021142"/>
          <w:lang w:val="el-GR"/>
        </w:rPr>
        <w:t>:</w:t>
      </w:r>
      <w:r w:rsidRPr="00A404AB">
        <w:rPr>
          <w:lang w:val="el-GR"/>
        </w:rPr>
        <w:t xml:space="preserve"> </w:t>
      </w:r>
      <w:r w:rsidRPr="00A404AB">
        <w:rPr>
          <w:color w:val="021142"/>
          <w:lang w:val="el-GR"/>
        </w:rPr>
        <w:t xml:space="preserve">Οργανικά κέρδη προ προβλέψεων </w:t>
      </w:r>
      <w:r>
        <w:rPr>
          <w:color w:val="021142"/>
          <w:lang w:val="el-GR"/>
        </w:rPr>
        <w:t>αφαιρουμένων των προβλέψεων</w:t>
      </w:r>
      <w:r w:rsidR="00D0213E" w:rsidRPr="00D0213E">
        <w:rPr>
          <w:color w:val="021142"/>
          <w:lang w:val="el-GR"/>
        </w:rPr>
        <w:t xml:space="preserve"> (ζημιών) για πιστωτικούς κινδύνους από δάνεια και απαιτήσεις της υπό εξέταση περιόδου.</w:t>
      </w:r>
    </w:p>
    <w:p w14:paraId="48A5E74E" w14:textId="77777777" w:rsidR="0063742F" w:rsidRPr="0063742F" w:rsidRDefault="00E13EF0" w:rsidP="0063742F">
      <w:pPr>
        <w:pStyle w:val="ListParagraph"/>
        <w:numPr>
          <w:ilvl w:val="0"/>
          <w:numId w:val="20"/>
        </w:numPr>
        <w:tabs>
          <w:tab w:val="left" w:pos="415"/>
        </w:tabs>
        <w:spacing w:before="105" w:line="247" w:lineRule="auto"/>
        <w:rPr>
          <w:color w:val="021142"/>
          <w:lang w:val="el-GR"/>
        </w:rPr>
      </w:pPr>
      <w:r w:rsidRPr="008E0428">
        <w:rPr>
          <w:b/>
          <w:color w:val="021142"/>
          <w:lang w:val="el-GR"/>
        </w:rPr>
        <w:t>Προσαρμοσμένα καθαρά κέρδη:</w:t>
      </w:r>
      <w:r w:rsidR="00222199" w:rsidRPr="00222199">
        <w:rPr>
          <w:lang w:val="el-GR"/>
        </w:rPr>
        <w:t xml:space="preserve"> </w:t>
      </w:r>
      <w:r w:rsidR="00222199" w:rsidRPr="00222199">
        <w:rPr>
          <w:color w:val="021142"/>
          <w:lang w:val="el-GR"/>
        </w:rPr>
        <w:t>Τα καθαρά κέρδη/ζημιές</w:t>
      </w:r>
      <w:r w:rsidR="00582E94" w:rsidRPr="00582E94">
        <w:rPr>
          <w:color w:val="021142"/>
          <w:lang w:val="el-GR"/>
        </w:rPr>
        <w:t xml:space="preserve"> </w:t>
      </w:r>
      <w:r w:rsidR="00582E94">
        <w:rPr>
          <w:color w:val="021142"/>
          <w:lang w:val="el-GR"/>
        </w:rPr>
        <w:t>που αναλογούν στους μετόχους</w:t>
      </w:r>
      <w:r w:rsidR="00222199" w:rsidRPr="00222199">
        <w:rPr>
          <w:color w:val="021142"/>
          <w:lang w:val="el-GR"/>
        </w:rPr>
        <w:t xml:space="preserve"> εξαιρουμένων των εξόδων αναδιάρθρωσης, της ζημιάς απομείωσης υπεραξίας/ κέρδους από απόκτηση συμμετοχής, των κερδών / ζημιών που σχετίζονται με τα σχέδια μετασχηματισμού και μείωσης των μη Εξυπηρετούμενων Ανοιγμάτων (NPE), </w:t>
      </w:r>
      <w:r w:rsidR="003C6B94" w:rsidRPr="003C6B94">
        <w:rPr>
          <w:color w:val="021142"/>
          <w:lang w:val="el-GR"/>
        </w:rPr>
        <w:t>της συνεισφοράς σε έργα υποδομής του Ελληνικού Δημοσίου</w:t>
      </w:r>
      <w:r w:rsidR="00582E94">
        <w:rPr>
          <w:color w:val="021142"/>
          <w:lang w:val="el-GR"/>
        </w:rPr>
        <w:t xml:space="preserve">, </w:t>
      </w:r>
      <w:r w:rsidR="00582E94" w:rsidRPr="00582E94">
        <w:rPr>
          <w:color w:val="021142"/>
          <w:lang w:val="el-GR"/>
        </w:rPr>
        <w:t xml:space="preserve">της καθαρής ζημιάς από μη συνεχιζόμενες δραστηριότητες </w:t>
      </w:r>
      <w:r w:rsidR="003C6B94" w:rsidRPr="003C6B94">
        <w:rPr>
          <w:color w:val="021142"/>
          <w:lang w:val="el-GR"/>
        </w:rPr>
        <w:t xml:space="preserve"> </w:t>
      </w:r>
      <w:r w:rsidR="003C6B94">
        <w:rPr>
          <w:color w:val="021142"/>
          <w:lang w:val="el-GR"/>
        </w:rPr>
        <w:t>κ</w:t>
      </w:r>
      <w:r w:rsidR="00222199" w:rsidRPr="00222199">
        <w:rPr>
          <w:color w:val="021142"/>
          <w:lang w:val="el-GR"/>
        </w:rPr>
        <w:t>αι των αναπροσαρμογών φόρου εισοδήματος</w:t>
      </w:r>
      <w:r w:rsidR="008E0428" w:rsidRPr="008E0428">
        <w:rPr>
          <w:color w:val="021142"/>
          <w:lang w:val="el-GR"/>
        </w:rPr>
        <w:t xml:space="preserve">. </w:t>
      </w:r>
    </w:p>
    <w:p w14:paraId="007176FD" w14:textId="5C66E1BB" w:rsidR="0063742F" w:rsidRPr="0063742F" w:rsidRDefault="006900D0" w:rsidP="0063742F">
      <w:pPr>
        <w:pStyle w:val="ListParagraph"/>
        <w:numPr>
          <w:ilvl w:val="0"/>
          <w:numId w:val="20"/>
        </w:numPr>
        <w:tabs>
          <w:tab w:val="left" w:pos="415"/>
        </w:tabs>
        <w:spacing w:before="105" w:line="247" w:lineRule="auto"/>
        <w:rPr>
          <w:color w:val="021142"/>
          <w:lang w:val="el-GR"/>
        </w:rPr>
      </w:pPr>
      <w:r w:rsidRPr="0063742F">
        <w:rPr>
          <w:b/>
          <w:color w:val="021142"/>
          <w:lang w:val="el-GR"/>
        </w:rPr>
        <w:t>Συνολικός δείκτης Κεφαλαιακής Επάρκειας (</w:t>
      </w:r>
      <w:r w:rsidRPr="0063742F">
        <w:rPr>
          <w:b/>
          <w:color w:val="021142"/>
        </w:rPr>
        <w:t>Total</w:t>
      </w:r>
      <w:r w:rsidRPr="0063742F">
        <w:rPr>
          <w:b/>
          <w:color w:val="021142"/>
          <w:lang w:val="el-GR"/>
        </w:rPr>
        <w:t xml:space="preserve"> </w:t>
      </w:r>
      <w:r w:rsidRPr="0063742F">
        <w:rPr>
          <w:b/>
          <w:color w:val="021142"/>
        </w:rPr>
        <w:t>Capital</w:t>
      </w:r>
      <w:r w:rsidRPr="0063742F">
        <w:rPr>
          <w:b/>
          <w:color w:val="021142"/>
          <w:lang w:val="el-GR"/>
        </w:rPr>
        <w:t xml:space="preserve"> </w:t>
      </w:r>
      <w:r w:rsidRPr="0063742F">
        <w:rPr>
          <w:b/>
          <w:color w:val="021142"/>
        </w:rPr>
        <w:t>Adequacy</w:t>
      </w:r>
      <w:r w:rsidRPr="0063742F">
        <w:rPr>
          <w:b/>
          <w:color w:val="021142"/>
          <w:lang w:val="el-GR"/>
        </w:rPr>
        <w:t xml:space="preserve"> </w:t>
      </w:r>
      <w:r w:rsidRPr="0063742F">
        <w:rPr>
          <w:b/>
          <w:color w:val="021142"/>
        </w:rPr>
        <w:t>ratio</w:t>
      </w:r>
      <w:r w:rsidRPr="0063742F">
        <w:rPr>
          <w:b/>
          <w:color w:val="021142"/>
          <w:lang w:val="el-GR"/>
        </w:rPr>
        <w:t>):</w:t>
      </w:r>
      <w:r w:rsidRPr="0063742F">
        <w:rPr>
          <w:b/>
          <w:color w:val="021142"/>
          <w:spacing w:val="-11"/>
          <w:lang w:val="el-GR"/>
        </w:rPr>
        <w:t xml:space="preserve"> </w:t>
      </w:r>
      <w:r w:rsidR="0063742F" w:rsidRPr="0063742F">
        <w:rPr>
          <w:color w:val="021142"/>
          <w:lang w:val="el-GR"/>
        </w:rPr>
        <w:t>Σύμφωνα με τον κανονισμό (EE) Αρ.575/2013, όπως ισχύει, ο λόγος των συνολικών εποπτικών κεφαλαίων  προς το σύνολο του σταθμισμένου ενεργητικού (Risk Weighted Assets - RWA). Το σταθμισμένο ενεργητικό είναι το σύνολο του ενεργητικού και των στοιχείων εκτός ισολογισμού του Ομίλου, σταθμισμένα με βάση τους συντελεστές στάθμισης κινδύνου σύμφωνα με τον κανονισμό (ΕΕ) Αρ. 575/2013, λαμβάνοντας υπόψη τον πιστωτικό, λειτουργικό και τον κίνδυνο αγοράς.</w:t>
      </w:r>
    </w:p>
    <w:p w14:paraId="20AB6A98" w14:textId="2DECFCC0" w:rsidR="006900D0" w:rsidRPr="0063742F" w:rsidRDefault="006900D0" w:rsidP="0063742F">
      <w:pPr>
        <w:pStyle w:val="ListParagraph"/>
        <w:tabs>
          <w:tab w:val="left" w:pos="390"/>
        </w:tabs>
        <w:spacing w:before="114" w:line="249" w:lineRule="auto"/>
        <w:ind w:left="720" w:right="295"/>
        <w:rPr>
          <w:lang w:val="el-GR"/>
        </w:rPr>
      </w:pPr>
    </w:p>
    <w:sectPr w:rsidR="006900D0" w:rsidRPr="0063742F">
      <w:headerReference w:type="default" r:id="rId17"/>
      <w:pgSz w:w="11910" w:h="16840"/>
      <w:pgMar w:top="1540" w:right="420" w:bottom="0" w:left="460" w:header="7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F1E60" w14:textId="77777777" w:rsidR="00162CF7" w:rsidRDefault="00162CF7">
      <w:r>
        <w:separator/>
      </w:r>
    </w:p>
  </w:endnote>
  <w:endnote w:type="continuationSeparator" w:id="0">
    <w:p w14:paraId="462AABDE" w14:textId="77777777" w:rsidR="00162CF7" w:rsidRDefault="0016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Eurobank Sans">
    <w:panose1 w:val="02000503000000020004"/>
    <w:charset w:val="A1"/>
    <w:family w:val="auto"/>
    <w:pitch w:val="variable"/>
    <w:sig w:usb0="A00002BF" w:usb1="5000000A" w:usb2="00000000" w:usb3="00000000" w:csb0="0000009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2EE0" w14:textId="53389380" w:rsidR="00D576A5" w:rsidRPr="002E08D3" w:rsidRDefault="00D576A5" w:rsidP="002E08D3">
    <w:pPr>
      <w:tabs>
        <w:tab w:val="left" w:pos="9436"/>
      </w:tabs>
      <w:spacing w:before="39"/>
      <w:ind w:left="8640"/>
      <w:jc w:val="right"/>
      <w:rPr>
        <w:color w:val="021342"/>
        <w:sz w:val="20"/>
        <w:szCs w:val="20"/>
        <w:lang w:val="el-GR"/>
      </w:rPr>
    </w:pPr>
    <w:r w:rsidRPr="008831AF">
      <w:rPr>
        <w:color w:val="021342"/>
        <w:spacing w:val="-1"/>
        <w:sz w:val="20"/>
        <w:szCs w:val="20"/>
        <w:lang w:val="el-GR"/>
      </w:rPr>
      <w:t xml:space="preserve">                                                                                                                                                                                                                              </w:t>
    </w:r>
    <w:r w:rsidR="002E08D3">
      <w:rPr>
        <w:color w:val="021342"/>
        <w:spacing w:val="-1"/>
        <w:sz w:val="20"/>
        <w:szCs w:val="20"/>
        <w:lang w:val="el-GR"/>
      </w:rPr>
      <w:t xml:space="preserve">                       </w:t>
    </w:r>
    <w:r w:rsidR="007E045C">
      <w:rPr>
        <w:color w:val="021342"/>
        <w:spacing w:val="-1"/>
        <w:sz w:val="20"/>
        <w:szCs w:val="20"/>
        <w:lang w:val="en-GB"/>
      </w:rPr>
      <w:t>31</w:t>
    </w:r>
    <w:r w:rsidR="00D56F06">
      <w:rPr>
        <w:color w:val="021342"/>
        <w:spacing w:val="-1"/>
        <w:sz w:val="20"/>
        <w:szCs w:val="20"/>
      </w:rPr>
      <w:t xml:space="preserve"> </w:t>
    </w:r>
    <w:r w:rsidR="007E045C">
      <w:rPr>
        <w:color w:val="021342"/>
        <w:spacing w:val="-1"/>
        <w:sz w:val="20"/>
        <w:szCs w:val="20"/>
        <w:lang w:val="el-GR"/>
      </w:rPr>
      <w:t xml:space="preserve">Ιουλίου </w:t>
    </w:r>
    <w:r w:rsidR="002E08D3">
      <w:rPr>
        <w:color w:val="021342"/>
        <w:spacing w:val="-1"/>
        <w:sz w:val="20"/>
        <w:szCs w:val="20"/>
        <w:lang w:val="el-GR"/>
      </w:rPr>
      <w:t>2025</w:t>
    </w:r>
  </w:p>
  <w:p w14:paraId="52181DC4" w14:textId="77777777" w:rsidR="00D576A5" w:rsidRDefault="00D576A5" w:rsidP="004D78CF">
    <w:pPr>
      <w:tabs>
        <w:tab w:val="left" w:pos="9436"/>
      </w:tabs>
      <w:spacing w:before="39"/>
      <w:ind w:left="260"/>
      <w:jc w:val="both"/>
      <w:rPr>
        <w:color w:val="021342"/>
        <w:sz w:val="16"/>
        <w:lang w:val="el-GR"/>
      </w:rPr>
    </w:pPr>
  </w:p>
  <w:p w14:paraId="023AD29B" w14:textId="77777777" w:rsidR="00D576A5" w:rsidRPr="004D78CF" w:rsidRDefault="00D576A5" w:rsidP="004D78CF">
    <w:pPr>
      <w:tabs>
        <w:tab w:val="left" w:pos="9436"/>
      </w:tabs>
      <w:spacing w:before="39"/>
      <w:ind w:left="260"/>
      <w:jc w:val="both"/>
      <w:rPr>
        <w:sz w:val="16"/>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00BBF" w14:textId="77777777" w:rsidR="00162CF7" w:rsidRDefault="00162CF7">
      <w:r>
        <w:separator/>
      </w:r>
    </w:p>
  </w:footnote>
  <w:footnote w:type="continuationSeparator" w:id="0">
    <w:p w14:paraId="6AD50918" w14:textId="77777777" w:rsidR="00162CF7" w:rsidRDefault="00162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CD58" w14:textId="77777777" w:rsidR="00D576A5" w:rsidRDefault="00735BE7">
    <w:pPr>
      <w:pStyle w:val="BodyText"/>
      <w:spacing w:line="14" w:lineRule="auto"/>
      <w:rPr>
        <w:sz w:val="20"/>
      </w:rPr>
    </w:pPr>
    <w:r>
      <w:rPr>
        <w:rFonts w:ascii="Times New Roman" w:eastAsiaTheme="minorHAnsi" w:hAnsi="Times New Roman" w:cs="Times New Roman"/>
        <w:noProof/>
        <w:sz w:val="24"/>
        <w:szCs w:val="24"/>
        <w:lang w:val="el-GR" w:eastAsia="el-GR"/>
      </w:rPr>
      <w:drawing>
        <wp:anchor distT="0" distB="0" distL="114300" distR="114300" simplePos="0" relativeHeight="487182848" behindDoc="0" locked="0" layoutInCell="1" allowOverlap="1" wp14:anchorId="01746BF3" wp14:editId="6A5DFBB4">
          <wp:simplePos x="0" y="0"/>
          <wp:positionH relativeFrom="margin">
            <wp:posOffset>4667250</wp:posOffset>
          </wp:positionH>
          <wp:positionV relativeFrom="paragraph">
            <wp:posOffset>0</wp:posOffset>
          </wp:positionV>
          <wp:extent cx="2138680" cy="543560"/>
          <wp:effectExtent l="0" t="0" r="0" b="8890"/>
          <wp:wrapTopAndBottom/>
          <wp:docPr id="1474162438" name="Picture 1474162438" descr="Eurobank-Holdings-Standard-Siz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urobank-Holdings-Standard-Size-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680" cy="543560"/>
                  </a:xfrm>
                  <a:prstGeom prst="rect">
                    <a:avLst/>
                  </a:prstGeom>
                  <a:noFill/>
                </pic:spPr>
              </pic:pic>
            </a:graphicData>
          </a:graphic>
          <wp14:sizeRelH relativeFrom="page">
            <wp14:pctWidth>0</wp14:pctWidth>
          </wp14:sizeRelH>
          <wp14:sizeRelV relativeFrom="page">
            <wp14:pctHeight>0</wp14:pctHeight>
          </wp14:sizeRelV>
        </wp:anchor>
      </w:drawing>
    </w:r>
    <w:r w:rsidR="00D576A5">
      <w:rPr>
        <w:noProof/>
        <w:lang w:val="el-GR" w:eastAsia="el-GR"/>
      </w:rPr>
      <mc:AlternateContent>
        <mc:Choice Requires="wps">
          <w:drawing>
            <wp:anchor distT="0" distB="0" distL="114300" distR="114300" simplePos="0" relativeHeight="487175168" behindDoc="1" locked="0" layoutInCell="1" allowOverlap="1" wp14:anchorId="328E0B99" wp14:editId="0E5FBE68">
              <wp:simplePos x="0" y="0"/>
              <wp:positionH relativeFrom="page">
                <wp:posOffset>444500</wp:posOffset>
              </wp:positionH>
              <wp:positionV relativeFrom="page">
                <wp:posOffset>548640</wp:posOffset>
              </wp:positionV>
              <wp:extent cx="1774825" cy="212090"/>
              <wp:effectExtent l="0" t="0" r="0" b="0"/>
              <wp:wrapNone/>
              <wp:docPr id="3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7727B" w14:textId="77777777" w:rsidR="00D576A5" w:rsidRDefault="00D576A5">
                          <w:pPr>
                            <w:spacing w:before="20"/>
                            <w:ind w:left="20"/>
                            <w:rPr>
                              <w:b/>
                              <w:sz w:val="24"/>
                            </w:rPr>
                          </w:pPr>
                          <w:r>
                            <w:rPr>
                              <w:b/>
                              <w:color w:val="021142"/>
                              <w:spacing w:val="-2"/>
                              <w:sz w:val="24"/>
                            </w:rPr>
                            <w:t>Οικονομικά</w:t>
                          </w:r>
                          <w:r>
                            <w:rPr>
                              <w:b/>
                              <w:color w:val="021142"/>
                              <w:spacing w:val="-11"/>
                              <w:sz w:val="24"/>
                            </w:rPr>
                            <w:t xml:space="preserve"> </w:t>
                          </w:r>
                          <w:r>
                            <w:rPr>
                              <w:b/>
                              <w:color w:val="021142"/>
                              <w:spacing w:val="-1"/>
                              <w:sz w:val="24"/>
                            </w:rPr>
                            <w:t>Αποτελέσματα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E0B99" id="_x0000_t202" coordsize="21600,21600" o:spt="202" path="m,l,21600r21600,l21600,xe">
              <v:stroke joinstyle="miter"/>
              <v:path gradientshapeok="t" o:connecttype="rect"/>
            </v:shapetype>
            <v:shape id="docshape19" o:spid="_x0000_s1033" type="#_x0000_t202" style="position:absolute;margin-left:35pt;margin-top:43.2pt;width:139.75pt;height:16.7pt;z-index:-1614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" filled="f" stroked="f">
              <v:textbox inset="0,0,0,0">
                <w:txbxContent>
                  <w:p w14:paraId="08C7727B" w14:textId="77777777" w:rsidR="00D576A5" w:rsidRDefault="00D576A5">
                    <w:pPr>
                      <w:spacing w:before="20"/>
                      <w:ind w:left="20"/>
                      <w:rPr>
                        <w:b/>
                        <w:sz w:val="24"/>
                      </w:rPr>
                    </w:pPr>
                    <w:r>
                      <w:rPr>
                        <w:b/>
                        <w:color w:val="021142"/>
                        <w:spacing w:val="-2"/>
                        <w:sz w:val="24"/>
                      </w:rPr>
                      <w:t>Οικονομικά</w:t>
                    </w:r>
                    <w:r>
                      <w:rPr>
                        <w:b/>
                        <w:color w:val="021142"/>
                        <w:spacing w:val="-11"/>
                        <w:sz w:val="24"/>
                      </w:rPr>
                      <w:t xml:space="preserve"> </w:t>
                    </w:r>
                    <w:r>
                      <w:rPr>
                        <w:b/>
                        <w:color w:val="021142"/>
                        <w:spacing w:val="-1"/>
                        <w:sz w:val="24"/>
                      </w:rPr>
                      <w:t>Αποτελέσματα</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705A" w14:textId="77777777" w:rsidR="00D576A5" w:rsidRDefault="00FB4B83">
    <w:pPr>
      <w:pStyle w:val="BodyText"/>
      <w:spacing w:line="14" w:lineRule="auto"/>
      <w:rPr>
        <w:sz w:val="20"/>
      </w:rPr>
    </w:pPr>
    <w:r>
      <w:rPr>
        <w:rFonts w:ascii="Times New Roman" w:eastAsiaTheme="minorHAnsi" w:hAnsi="Times New Roman" w:cs="Times New Roman"/>
        <w:noProof/>
        <w:sz w:val="24"/>
        <w:szCs w:val="24"/>
        <w:lang w:val="el-GR" w:eastAsia="el-GR"/>
      </w:rPr>
      <w:drawing>
        <wp:anchor distT="0" distB="0" distL="114300" distR="114300" simplePos="0" relativeHeight="487184896" behindDoc="0" locked="0" layoutInCell="1" allowOverlap="1" wp14:anchorId="0A185CBF" wp14:editId="63AAD15E">
          <wp:simplePos x="0" y="0"/>
          <wp:positionH relativeFrom="margin">
            <wp:posOffset>4673600</wp:posOffset>
          </wp:positionH>
          <wp:positionV relativeFrom="paragraph">
            <wp:posOffset>0</wp:posOffset>
          </wp:positionV>
          <wp:extent cx="2138680" cy="543560"/>
          <wp:effectExtent l="0" t="0" r="0" b="8890"/>
          <wp:wrapTopAndBottom/>
          <wp:docPr id="61" name="Picture 61" descr="Eurobank-Holdings-Standard-Siz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urobank-Holdings-Standard-Size-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680" cy="543560"/>
                  </a:xfrm>
                  <a:prstGeom prst="rect">
                    <a:avLst/>
                  </a:prstGeom>
                  <a:noFill/>
                </pic:spPr>
              </pic:pic>
            </a:graphicData>
          </a:graphic>
          <wp14:sizeRelH relativeFrom="page">
            <wp14:pctWidth>0</wp14:pctWidth>
          </wp14:sizeRelH>
          <wp14:sizeRelV relativeFrom="page">
            <wp14:pctHeight>0</wp14:pctHeight>
          </wp14:sizeRelV>
        </wp:anchor>
      </w:drawing>
    </w:r>
    <w:r w:rsidR="00D576A5">
      <w:rPr>
        <w:noProof/>
        <w:lang w:val="el-GR" w:eastAsia="el-GR"/>
      </w:rPr>
      <mc:AlternateContent>
        <mc:Choice Requires="wps">
          <w:drawing>
            <wp:anchor distT="0" distB="0" distL="114300" distR="114300" simplePos="0" relativeHeight="487180800" behindDoc="1" locked="0" layoutInCell="1" allowOverlap="1" wp14:anchorId="2B2EF604" wp14:editId="43A0BC63">
              <wp:simplePos x="0" y="0"/>
              <wp:positionH relativeFrom="page">
                <wp:posOffset>444500</wp:posOffset>
              </wp:positionH>
              <wp:positionV relativeFrom="page">
                <wp:posOffset>548640</wp:posOffset>
              </wp:positionV>
              <wp:extent cx="1774825" cy="212090"/>
              <wp:effectExtent l="0" t="0" r="0" b="0"/>
              <wp:wrapNone/>
              <wp:docPr id="1" name="docshape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4246A" w14:textId="77777777" w:rsidR="00D576A5" w:rsidRDefault="00D576A5">
                          <w:pPr>
                            <w:spacing w:before="20"/>
                            <w:ind w:left="20"/>
                            <w:rPr>
                              <w:b/>
                              <w:sz w:val="24"/>
                            </w:rPr>
                          </w:pPr>
                          <w:r>
                            <w:rPr>
                              <w:b/>
                              <w:color w:val="021142"/>
                              <w:spacing w:val="-2"/>
                              <w:sz w:val="24"/>
                            </w:rPr>
                            <w:t>Οικονομικά</w:t>
                          </w:r>
                          <w:r>
                            <w:rPr>
                              <w:b/>
                              <w:color w:val="021142"/>
                              <w:spacing w:val="-11"/>
                              <w:sz w:val="24"/>
                            </w:rPr>
                            <w:t xml:space="preserve"> </w:t>
                          </w:r>
                          <w:r>
                            <w:rPr>
                              <w:b/>
                              <w:color w:val="021142"/>
                              <w:spacing w:val="-1"/>
                              <w:sz w:val="24"/>
                            </w:rPr>
                            <w:t>Αποτελέσματα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EF604" id="_x0000_t202" coordsize="21600,21600" o:spt="202" path="m,l,21600r21600,l21600,xe">
              <v:stroke joinstyle="miter"/>
              <v:path gradientshapeok="t" o:connecttype="rect"/>
            </v:shapetype>
            <v:shape id="docshape63" o:spid="_x0000_s1034" type="#_x0000_t202" style="position:absolute;margin-left:35pt;margin-top:43.2pt;width:139.75pt;height:16.7pt;z-index:-1613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" filled="f" stroked="f">
              <v:textbox inset="0,0,0,0">
                <w:txbxContent>
                  <w:p w14:paraId="44A4246A" w14:textId="77777777" w:rsidR="00D576A5" w:rsidRDefault="00D576A5">
                    <w:pPr>
                      <w:spacing w:before="20"/>
                      <w:ind w:left="20"/>
                      <w:rPr>
                        <w:b/>
                        <w:sz w:val="24"/>
                      </w:rPr>
                    </w:pPr>
                    <w:r>
                      <w:rPr>
                        <w:b/>
                        <w:color w:val="021142"/>
                        <w:spacing w:val="-2"/>
                        <w:sz w:val="24"/>
                      </w:rPr>
                      <w:t>Οικονομικά</w:t>
                    </w:r>
                    <w:r>
                      <w:rPr>
                        <w:b/>
                        <w:color w:val="021142"/>
                        <w:spacing w:val="-11"/>
                        <w:sz w:val="24"/>
                      </w:rPr>
                      <w:t xml:space="preserve"> </w:t>
                    </w:r>
                    <w:r>
                      <w:rPr>
                        <w:b/>
                        <w:color w:val="021142"/>
                        <w:spacing w:val="-1"/>
                        <w:sz w:val="24"/>
                      </w:rPr>
                      <w:t>Αποτελέσματα</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15pt;height:20pt;visibility:visible;mso-wrap-style:square" o:bullet="t">
        <v:imagedata r:id="rId1" o:title=""/>
      </v:shape>
    </w:pict>
  </w:numPicBullet>
  <w:abstractNum w:abstractNumId="0" w15:restartNumberingAfterBreak="0">
    <w:nsid w:val="01F679F6"/>
    <w:multiLevelType w:val="hybridMultilevel"/>
    <w:tmpl w:val="4A1EADE2"/>
    <w:lvl w:ilvl="0" w:tplc="04080001">
      <w:start w:val="1"/>
      <w:numFmt w:val="bullet"/>
      <w:lvlText w:val=""/>
      <w:lvlJc w:val="left"/>
      <w:pPr>
        <w:ind w:left="980" w:hanging="360"/>
      </w:pPr>
      <w:rPr>
        <w:rFonts w:ascii="Symbol" w:hAnsi="Symbol" w:hint="default"/>
      </w:rPr>
    </w:lvl>
    <w:lvl w:ilvl="1" w:tplc="04080003" w:tentative="1">
      <w:start w:val="1"/>
      <w:numFmt w:val="bullet"/>
      <w:lvlText w:val="o"/>
      <w:lvlJc w:val="left"/>
      <w:pPr>
        <w:ind w:left="1700" w:hanging="360"/>
      </w:pPr>
      <w:rPr>
        <w:rFonts w:ascii="Courier New" w:hAnsi="Courier New" w:cs="Courier New" w:hint="default"/>
      </w:rPr>
    </w:lvl>
    <w:lvl w:ilvl="2" w:tplc="04080005" w:tentative="1">
      <w:start w:val="1"/>
      <w:numFmt w:val="bullet"/>
      <w:lvlText w:val=""/>
      <w:lvlJc w:val="left"/>
      <w:pPr>
        <w:ind w:left="2420" w:hanging="360"/>
      </w:pPr>
      <w:rPr>
        <w:rFonts w:ascii="Wingdings" w:hAnsi="Wingdings" w:hint="default"/>
      </w:rPr>
    </w:lvl>
    <w:lvl w:ilvl="3" w:tplc="04080001" w:tentative="1">
      <w:start w:val="1"/>
      <w:numFmt w:val="bullet"/>
      <w:lvlText w:val=""/>
      <w:lvlJc w:val="left"/>
      <w:pPr>
        <w:ind w:left="3140" w:hanging="360"/>
      </w:pPr>
      <w:rPr>
        <w:rFonts w:ascii="Symbol" w:hAnsi="Symbol" w:hint="default"/>
      </w:rPr>
    </w:lvl>
    <w:lvl w:ilvl="4" w:tplc="04080003" w:tentative="1">
      <w:start w:val="1"/>
      <w:numFmt w:val="bullet"/>
      <w:lvlText w:val="o"/>
      <w:lvlJc w:val="left"/>
      <w:pPr>
        <w:ind w:left="3860" w:hanging="360"/>
      </w:pPr>
      <w:rPr>
        <w:rFonts w:ascii="Courier New" w:hAnsi="Courier New" w:cs="Courier New" w:hint="default"/>
      </w:rPr>
    </w:lvl>
    <w:lvl w:ilvl="5" w:tplc="04080005" w:tentative="1">
      <w:start w:val="1"/>
      <w:numFmt w:val="bullet"/>
      <w:lvlText w:val=""/>
      <w:lvlJc w:val="left"/>
      <w:pPr>
        <w:ind w:left="4580" w:hanging="360"/>
      </w:pPr>
      <w:rPr>
        <w:rFonts w:ascii="Wingdings" w:hAnsi="Wingdings" w:hint="default"/>
      </w:rPr>
    </w:lvl>
    <w:lvl w:ilvl="6" w:tplc="04080001" w:tentative="1">
      <w:start w:val="1"/>
      <w:numFmt w:val="bullet"/>
      <w:lvlText w:val=""/>
      <w:lvlJc w:val="left"/>
      <w:pPr>
        <w:ind w:left="5300" w:hanging="360"/>
      </w:pPr>
      <w:rPr>
        <w:rFonts w:ascii="Symbol" w:hAnsi="Symbol" w:hint="default"/>
      </w:rPr>
    </w:lvl>
    <w:lvl w:ilvl="7" w:tplc="04080003" w:tentative="1">
      <w:start w:val="1"/>
      <w:numFmt w:val="bullet"/>
      <w:lvlText w:val="o"/>
      <w:lvlJc w:val="left"/>
      <w:pPr>
        <w:ind w:left="6020" w:hanging="360"/>
      </w:pPr>
      <w:rPr>
        <w:rFonts w:ascii="Courier New" w:hAnsi="Courier New" w:cs="Courier New" w:hint="default"/>
      </w:rPr>
    </w:lvl>
    <w:lvl w:ilvl="8" w:tplc="04080005" w:tentative="1">
      <w:start w:val="1"/>
      <w:numFmt w:val="bullet"/>
      <w:lvlText w:val=""/>
      <w:lvlJc w:val="left"/>
      <w:pPr>
        <w:ind w:left="6740" w:hanging="360"/>
      </w:pPr>
      <w:rPr>
        <w:rFonts w:ascii="Wingdings" w:hAnsi="Wingdings" w:hint="default"/>
      </w:rPr>
    </w:lvl>
  </w:abstractNum>
  <w:abstractNum w:abstractNumId="1" w15:restartNumberingAfterBreak="0">
    <w:nsid w:val="05873C54"/>
    <w:multiLevelType w:val="hybridMultilevel"/>
    <w:tmpl w:val="481236B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7D0EA7"/>
    <w:multiLevelType w:val="hybridMultilevel"/>
    <w:tmpl w:val="947E2C0C"/>
    <w:lvl w:ilvl="0" w:tplc="27C64810">
      <w:numFmt w:val="bullet"/>
      <w:lvlText w:val="•"/>
      <w:lvlJc w:val="left"/>
      <w:pPr>
        <w:ind w:left="260" w:hanging="130"/>
      </w:pPr>
      <w:rPr>
        <w:rFonts w:ascii="Agency FB" w:eastAsia="Agency FB" w:hAnsi="Agency FB" w:cs="Agency FB" w:hint="default"/>
        <w:b w:val="0"/>
        <w:bCs w:val="0"/>
        <w:i w:val="0"/>
        <w:iCs w:val="0"/>
        <w:color w:val="021142"/>
        <w:w w:val="100"/>
        <w:sz w:val="22"/>
        <w:szCs w:val="22"/>
        <w:lang w:val="en-US" w:eastAsia="en-US" w:bidi="ar-SA"/>
      </w:rPr>
    </w:lvl>
    <w:lvl w:ilvl="1" w:tplc="180CC21A">
      <w:numFmt w:val="bullet"/>
      <w:lvlText w:val="•"/>
      <w:lvlJc w:val="left"/>
      <w:pPr>
        <w:ind w:left="1336" w:hanging="130"/>
      </w:pPr>
      <w:rPr>
        <w:rFonts w:hint="default"/>
        <w:lang w:val="en-US" w:eastAsia="en-US" w:bidi="ar-SA"/>
      </w:rPr>
    </w:lvl>
    <w:lvl w:ilvl="2" w:tplc="D4A2C78C">
      <w:numFmt w:val="bullet"/>
      <w:lvlText w:val="•"/>
      <w:lvlJc w:val="left"/>
      <w:pPr>
        <w:ind w:left="2413" w:hanging="130"/>
      </w:pPr>
      <w:rPr>
        <w:rFonts w:hint="default"/>
        <w:lang w:val="en-US" w:eastAsia="en-US" w:bidi="ar-SA"/>
      </w:rPr>
    </w:lvl>
    <w:lvl w:ilvl="3" w:tplc="C7B878D2">
      <w:numFmt w:val="bullet"/>
      <w:lvlText w:val="•"/>
      <w:lvlJc w:val="left"/>
      <w:pPr>
        <w:ind w:left="3489" w:hanging="130"/>
      </w:pPr>
      <w:rPr>
        <w:rFonts w:hint="default"/>
        <w:lang w:val="en-US" w:eastAsia="en-US" w:bidi="ar-SA"/>
      </w:rPr>
    </w:lvl>
    <w:lvl w:ilvl="4" w:tplc="6C22D444">
      <w:numFmt w:val="bullet"/>
      <w:lvlText w:val="•"/>
      <w:lvlJc w:val="left"/>
      <w:pPr>
        <w:ind w:left="4566" w:hanging="130"/>
      </w:pPr>
      <w:rPr>
        <w:rFonts w:hint="default"/>
        <w:lang w:val="en-US" w:eastAsia="en-US" w:bidi="ar-SA"/>
      </w:rPr>
    </w:lvl>
    <w:lvl w:ilvl="5" w:tplc="E13EC378">
      <w:numFmt w:val="bullet"/>
      <w:lvlText w:val="•"/>
      <w:lvlJc w:val="left"/>
      <w:pPr>
        <w:ind w:left="5642" w:hanging="130"/>
      </w:pPr>
      <w:rPr>
        <w:rFonts w:hint="default"/>
        <w:lang w:val="en-US" w:eastAsia="en-US" w:bidi="ar-SA"/>
      </w:rPr>
    </w:lvl>
    <w:lvl w:ilvl="6" w:tplc="5FFEFB0C">
      <w:numFmt w:val="bullet"/>
      <w:lvlText w:val="•"/>
      <w:lvlJc w:val="left"/>
      <w:pPr>
        <w:ind w:left="6719" w:hanging="130"/>
      </w:pPr>
      <w:rPr>
        <w:rFonts w:hint="default"/>
        <w:lang w:val="en-US" w:eastAsia="en-US" w:bidi="ar-SA"/>
      </w:rPr>
    </w:lvl>
    <w:lvl w:ilvl="7" w:tplc="A28429DC">
      <w:numFmt w:val="bullet"/>
      <w:lvlText w:val="•"/>
      <w:lvlJc w:val="left"/>
      <w:pPr>
        <w:ind w:left="7795" w:hanging="130"/>
      </w:pPr>
      <w:rPr>
        <w:rFonts w:hint="default"/>
        <w:lang w:val="en-US" w:eastAsia="en-US" w:bidi="ar-SA"/>
      </w:rPr>
    </w:lvl>
    <w:lvl w:ilvl="8" w:tplc="57A831AE">
      <w:numFmt w:val="bullet"/>
      <w:lvlText w:val="•"/>
      <w:lvlJc w:val="left"/>
      <w:pPr>
        <w:ind w:left="8872" w:hanging="130"/>
      </w:pPr>
      <w:rPr>
        <w:rFonts w:hint="default"/>
        <w:lang w:val="en-US" w:eastAsia="en-US" w:bidi="ar-SA"/>
      </w:rPr>
    </w:lvl>
  </w:abstractNum>
  <w:abstractNum w:abstractNumId="3" w15:restartNumberingAfterBreak="0">
    <w:nsid w:val="1B147CA5"/>
    <w:multiLevelType w:val="hybridMultilevel"/>
    <w:tmpl w:val="4196621E"/>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2320557"/>
    <w:multiLevelType w:val="hybridMultilevel"/>
    <w:tmpl w:val="15CC9C22"/>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54E608B"/>
    <w:multiLevelType w:val="hybridMultilevel"/>
    <w:tmpl w:val="0B38AC12"/>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65E1334"/>
    <w:multiLevelType w:val="hybridMultilevel"/>
    <w:tmpl w:val="B13CE1FA"/>
    <w:lvl w:ilvl="0" w:tplc="BAC6D9C4">
      <w:numFmt w:val="bullet"/>
      <w:lvlText w:val="•"/>
      <w:lvlJc w:val="left"/>
      <w:pPr>
        <w:ind w:left="260" w:hanging="180"/>
      </w:pPr>
      <w:rPr>
        <w:rFonts w:ascii="Eurobank Sans" w:eastAsia="Eurobank Sans" w:hAnsi="Eurobank Sans" w:cs="Eurobank Sans" w:hint="default"/>
        <w:b/>
        <w:bCs/>
        <w:i w:val="0"/>
        <w:iCs w:val="0"/>
        <w:color w:val="021142"/>
        <w:w w:val="100"/>
        <w:sz w:val="22"/>
        <w:szCs w:val="22"/>
        <w:lang w:val="en-US" w:eastAsia="en-US" w:bidi="ar-SA"/>
      </w:rPr>
    </w:lvl>
    <w:lvl w:ilvl="1" w:tplc="D3B07CCC">
      <w:numFmt w:val="bullet"/>
      <w:lvlText w:val="•"/>
      <w:lvlJc w:val="left"/>
      <w:pPr>
        <w:ind w:left="1336" w:hanging="180"/>
      </w:pPr>
      <w:rPr>
        <w:rFonts w:hint="default"/>
        <w:lang w:val="en-US" w:eastAsia="en-US" w:bidi="ar-SA"/>
      </w:rPr>
    </w:lvl>
    <w:lvl w:ilvl="2" w:tplc="3C0855F6">
      <w:numFmt w:val="bullet"/>
      <w:lvlText w:val="•"/>
      <w:lvlJc w:val="left"/>
      <w:pPr>
        <w:ind w:left="2413" w:hanging="180"/>
      </w:pPr>
      <w:rPr>
        <w:rFonts w:hint="default"/>
        <w:lang w:val="en-US" w:eastAsia="en-US" w:bidi="ar-SA"/>
      </w:rPr>
    </w:lvl>
    <w:lvl w:ilvl="3" w:tplc="2D9AE2AA">
      <w:numFmt w:val="bullet"/>
      <w:lvlText w:val="•"/>
      <w:lvlJc w:val="left"/>
      <w:pPr>
        <w:ind w:left="3489" w:hanging="180"/>
      </w:pPr>
      <w:rPr>
        <w:rFonts w:hint="default"/>
        <w:lang w:val="en-US" w:eastAsia="en-US" w:bidi="ar-SA"/>
      </w:rPr>
    </w:lvl>
    <w:lvl w:ilvl="4" w:tplc="31A62FFA">
      <w:numFmt w:val="bullet"/>
      <w:lvlText w:val="•"/>
      <w:lvlJc w:val="left"/>
      <w:pPr>
        <w:ind w:left="4566" w:hanging="180"/>
      </w:pPr>
      <w:rPr>
        <w:rFonts w:hint="default"/>
        <w:lang w:val="en-US" w:eastAsia="en-US" w:bidi="ar-SA"/>
      </w:rPr>
    </w:lvl>
    <w:lvl w:ilvl="5" w:tplc="198A0232">
      <w:numFmt w:val="bullet"/>
      <w:lvlText w:val="•"/>
      <w:lvlJc w:val="left"/>
      <w:pPr>
        <w:ind w:left="5642" w:hanging="180"/>
      </w:pPr>
      <w:rPr>
        <w:rFonts w:hint="default"/>
        <w:lang w:val="en-US" w:eastAsia="en-US" w:bidi="ar-SA"/>
      </w:rPr>
    </w:lvl>
    <w:lvl w:ilvl="6" w:tplc="794E46AC">
      <w:numFmt w:val="bullet"/>
      <w:lvlText w:val="•"/>
      <w:lvlJc w:val="left"/>
      <w:pPr>
        <w:ind w:left="6719" w:hanging="180"/>
      </w:pPr>
      <w:rPr>
        <w:rFonts w:hint="default"/>
        <w:lang w:val="en-US" w:eastAsia="en-US" w:bidi="ar-SA"/>
      </w:rPr>
    </w:lvl>
    <w:lvl w:ilvl="7" w:tplc="A3AC75B0">
      <w:numFmt w:val="bullet"/>
      <w:lvlText w:val="•"/>
      <w:lvlJc w:val="left"/>
      <w:pPr>
        <w:ind w:left="7795" w:hanging="180"/>
      </w:pPr>
      <w:rPr>
        <w:rFonts w:hint="default"/>
        <w:lang w:val="en-US" w:eastAsia="en-US" w:bidi="ar-SA"/>
      </w:rPr>
    </w:lvl>
    <w:lvl w:ilvl="8" w:tplc="791494B0">
      <w:numFmt w:val="bullet"/>
      <w:lvlText w:val="•"/>
      <w:lvlJc w:val="left"/>
      <w:pPr>
        <w:ind w:left="8872" w:hanging="180"/>
      </w:pPr>
      <w:rPr>
        <w:rFonts w:hint="default"/>
        <w:lang w:val="en-US" w:eastAsia="en-US" w:bidi="ar-SA"/>
      </w:rPr>
    </w:lvl>
  </w:abstractNum>
  <w:abstractNum w:abstractNumId="7" w15:restartNumberingAfterBreak="0">
    <w:nsid w:val="2FFE5814"/>
    <w:multiLevelType w:val="hybridMultilevel"/>
    <w:tmpl w:val="A09AAA40"/>
    <w:lvl w:ilvl="0" w:tplc="0408000D">
      <w:start w:val="1"/>
      <w:numFmt w:val="bullet"/>
      <w:lvlText w:val=""/>
      <w:lvlJc w:val="left"/>
      <w:pPr>
        <w:ind w:left="1546" w:hanging="360"/>
      </w:pPr>
      <w:rPr>
        <w:rFonts w:ascii="Wingdings" w:hAnsi="Wingdings" w:hint="default"/>
      </w:rPr>
    </w:lvl>
    <w:lvl w:ilvl="1" w:tplc="04080003" w:tentative="1">
      <w:start w:val="1"/>
      <w:numFmt w:val="bullet"/>
      <w:lvlText w:val="o"/>
      <w:lvlJc w:val="left"/>
      <w:pPr>
        <w:ind w:left="2266" w:hanging="360"/>
      </w:pPr>
      <w:rPr>
        <w:rFonts w:ascii="Courier New" w:hAnsi="Courier New" w:cs="Courier New" w:hint="default"/>
      </w:rPr>
    </w:lvl>
    <w:lvl w:ilvl="2" w:tplc="04080005" w:tentative="1">
      <w:start w:val="1"/>
      <w:numFmt w:val="bullet"/>
      <w:lvlText w:val=""/>
      <w:lvlJc w:val="left"/>
      <w:pPr>
        <w:ind w:left="2986" w:hanging="360"/>
      </w:pPr>
      <w:rPr>
        <w:rFonts w:ascii="Wingdings" w:hAnsi="Wingdings" w:hint="default"/>
      </w:rPr>
    </w:lvl>
    <w:lvl w:ilvl="3" w:tplc="04080001" w:tentative="1">
      <w:start w:val="1"/>
      <w:numFmt w:val="bullet"/>
      <w:lvlText w:val=""/>
      <w:lvlJc w:val="left"/>
      <w:pPr>
        <w:ind w:left="3706" w:hanging="360"/>
      </w:pPr>
      <w:rPr>
        <w:rFonts w:ascii="Symbol" w:hAnsi="Symbol" w:hint="default"/>
      </w:rPr>
    </w:lvl>
    <w:lvl w:ilvl="4" w:tplc="04080003" w:tentative="1">
      <w:start w:val="1"/>
      <w:numFmt w:val="bullet"/>
      <w:lvlText w:val="o"/>
      <w:lvlJc w:val="left"/>
      <w:pPr>
        <w:ind w:left="4426" w:hanging="360"/>
      </w:pPr>
      <w:rPr>
        <w:rFonts w:ascii="Courier New" w:hAnsi="Courier New" w:cs="Courier New" w:hint="default"/>
      </w:rPr>
    </w:lvl>
    <w:lvl w:ilvl="5" w:tplc="04080005" w:tentative="1">
      <w:start w:val="1"/>
      <w:numFmt w:val="bullet"/>
      <w:lvlText w:val=""/>
      <w:lvlJc w:val="left"/>
      <w:pPr>
        <w:ind w:left="5146" w:hanging="360"/>
      </w:pPr>
      <w:rPr>
        <w:rFonts w:ascii="Wingdings" w:hAnsi="Wingdings" w:hint="default"/>
      </w:rPr>
    </w:lvl>
    <w:lvl w:ilvl="6" w:tplc="04080001" w:tentative="1">
      <w:start w:val="1"/>
      <w:numFmt w:val="bullet"/>
      <w:lvlText w:val=""/>
      <w:lvlJc w:val="left"/>
      <w:pPr>
        <w:ind w:left="5866" w:hanging="360"/>
      </w:pPr>
      <w:rPr>
        <w:rFonts w:ascii="Symbol" w:hAnsi="Symbol" w:hint="default"/>
      </w:rPr>
    </w:lvl>
    <w:lvl w:ilvl="7" w:tplc="04080003" w:tentative="1">
      <w:start w:val="1"/>
      <w:numFmt w:val="bullet"/>
      <w:lvlText w:val="o"/>
      <w:lvlJc w:val="left"/>
      <w:pPr>
        <w:ind w:left="6586" w:hanging="360"/>
      </w:pPr>
      <w:rPr>
        <w:rFonts w:ascii="Courier New" w:hAnsi="Courier New" w:cs="Courier New" w:hint="default"/>
      </w:rPr>
    </w:lvl>
    <w:lvl w:ilvl="8" w:tplc="04080005" w:tentative="1">
      <w:start w:val="1"/>
      <w:numFmt w:val="bullet"/>
      <w:lvlText w:val=""/>
      <w:lvlJc w:val="left"/>
      <w:pPr>
        <w:ind w:left="7306" w:hanging="360"/>
      </w:pPr>
      <w:rPr>
        <w:rFonts w:ascii="Wingdings" w:hAnsi="Wingdings" w:hint="default"/>
      </w:rPr>
    </w:lvl>
  </w:abstractNum>
  <w:abstractNum w:abstractNumId="8" w15:restartNumberingAfterBreak="0">
    <w:nsid w:val="35C57B46"/>
    <w:multiLevelType w:val="hybridMultilevel"/>
    <w:tmpl w:val="B1D27A94"/>
    <w:lvl w:ilvl="0" w:tplc="04080009">
      <w:start w:val="1"/>
      <w:numFmt w:val="bullet"/>
      <w:lvlText w:val=""/>
      <w:lvlJc w:val="left"/>
      <w:pPr>
        <w:ind w:left="749" w:hanging="360"/>
      </w:pPr>
      <w:rPr>
        <w:rFonts w:ascii="Wingdings" w:hAnsi="Wingdings" w:hint="default"/>
      </w:rPr>
    </w:lvl>
    <w:lvl w:ilvl="1" w:tplc="04080003" w:tentative="1">
      <w:start w:val="1"/>
      <w:numFmt w:val="bullet"/>
      <w:lvlText w:val="o"/>
      <w:lvlJc w:val="left"/>
      <w:pPr>
        <w:ind w:left="1469" w:hanging="360"/>
      </w:pPr>
      <w:rPr>
        <w:rFonts w:ascii="Courier New" w:hAnsi="Courier New" w:cs="Courier New" w:hint="default"/>
      </w:rPr>
    </w:lvl>
    <w:lvl w:ilvl="2" w:tplc="04080005" w:tentative="1">
      <w:start w:val="1"/>
      <w:numFmt w:val="bullet"/>
      <w:lvlText w:val=""/>
      <w:lvlJc w:val="left"/>
      <w:pPr>
        <w:ind w:left="2189" w:hanging="360"/>
      </w:pPr>
      <w:rPr>
        <w:rFonts w:ascii="Wingdings" w:hAnsi="Wingdings" w:hint="default"/>
      </w:rPr>
    </w:lvl>
    <w:lvl w:ilvl="3" w:tplc="04080001" w:tentative="1">
      <w:start w:val="1"/>
      <w:numFmt w:val="bullet"/>
      <w:lvlText w:val=""/>
      <w:lvlJc w:val="left"/>
      <w:pPr>
        <w:ind w:left="2909" w:hanging="360"/>
      </w:pPr>
      <w:rPr>
        <w:rFonts w:ascii="Symbol" w:hAnsi="Symbol" w:hint="default"/>
      </w:rPr>
    </w:lvl>
    <w:lvl w:ilvl="4" w:tplc="04080003" w:tentative="1">
      <w:start w:val="1"/>
      <w:numFmt w:val="bullet"/>
      <w:lvlText w:val="o"/>
      <w:lvlJc w:val="left"/>
      <w:pPr>
        <w:ind w:left="3629" w:hanging="360"/>
      </w:pPr>
      <w:rPr>
        <w:rFonts w:ascii="Courier New" w:hAnsi="Courier New" w:cs="Courier New" w:hint="default"/>
      </w:rPr>
    </w:lvl>
    <w:lvl w:ilvl="5" w:tplc="04080005" w:tentative="1">
      <w:start w:val="1"/>
      <w:numFmt w:val="bullet"/>
      <w:lvlText w:val=""/>
      <w:lvlJc w:val="left"/>
      <w:pPr>
        <w:ind w:left="4349" w:hanging="360"/>
      </w:pPr>
      <w:rPr>
        <w:rFonts w:ascii="Wingdings" w:hAnsi="Wingdings" w:hint="default"/>
      </w:rPr>
    </w:lvl>
    <w:lvl w:ilvl="6" w:tplc="04080001" w:tentative="1">
      <w:start w:val="1"/>
      <w:numFmt w:val="bullet"/>
      <w:lvlText w:val=""/>
      <w:lvlJc w:val="left"/>
      <w:pPr>
        <w:ind w:left="5069" w:hanging="360"/>
      </w:pPr>
      <w:rPr>
        <w:rFonts w:ascii="Symbol" w:hAnsi="Symbol" w:hint="default"/>
      </w:rPr>
    </w:lvl>
    <w:lvl w:ilvl="7" w:tplc="04080003" w:tentative="1">
      <w:start w:val="1"/>
      <w:numFmt w:val="bullet"/>
      <w:lvlText w:val="o"/>
      <w:lvlJc w:val="left"/>
      <w:pPr>
        <w:ind w:left="5789" w:hanging="360"/>
      </w:pPr>
      <w:rPr>
        <w:rFonts w:ascii="Courier New" w:hAnsi="Courier New" w:cs="Courier New" w:hint="default"/>
      </w:rPr>
    </w:lvl>
    <w:lvl w:ilvl="8" w:tplc="04080005" w:tentative="1">
      <w:start w:val="1"/>
      <w:numFmt w:val="bullet"/>
      <w:lvlText w:val=""/>
      <w:lvlJc w:val="left"/>
      <w:pPr>
        <w:ind w:left="6509" w:hanging="360"/>
      </w:pPr>
      <w:rPr>
        <w:rFonts w:ascii="Wingdings" w:hAnsi="Wingdings" w:hint="default"/>
      </w:rPr>
    </w:lvl>
  </w:abstractNum>
  <w:abstractNum w:abstractNumId="9" w15:restartNumberingAfterBreak="0">
    <w:nsid w:val="494F2BA9"/>
    <w:multiLevelType w:val="hybridMultilevel"/>
    <w:tmpl w:val="650E66D2"/>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AF17A9"/>
    <w:multiLevelType w:val="hybridMultilevel"/>
    <w:tmpl w:val="C08EA344"/>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527091A"/>
    <w:multiLevelType w:val="hybridMultilevel"/>
    <w:tmpl w:val="D9D45B56"/>
    <w:lvl w:ilvl="0" w:tplc="55668F2E">
      <w:numFmt w:val="bullet"/>
      <w:lvlText w:val="•"/>
      <w:lvlJc w:val="left"/>
      <w:pPr>
        <w:ind w:left="260" w:hanging="181"/>
      </w:pPr>
      <w:rPr>
        <w:rFonts w:ascii="Eurobank Sans" w:eastAsia="Eurobank Sans" w:hAnsi="Eurobank Sans" w:cs="Eurobank Sans" w:hint="default"/>
        <w:b/>
        <w:bCs/>
        <w:i w:val="0"/>
        <w:iCs w:val="0"/>
        <w:color w:val="021142"/>
        <w:w w:val="100"/>
        <w:sz w:val="22"/>
        <w:szCs w:val="22"/>
        <w:lang w:val="en-US" w:eastAsia="en-US" w:bidi="ar-SA"/>
      </w:rPr>
    </w:lvl>
    <w:lvl w:ilvl="1" w:tplc="801E66EA">
      <w:numFmt w:val="bullet"/>
      <w:lvlText w:val="•"/>
      <w:lvlJc w:val="left"/>
      <w:pPr>
        <w:ind w:left="1336" w:hanging="181"/>
      </w:pPr>
      <w:rPr>
        <w:rFonts w:hint="default"/>
        <w:lang w:val="en-US" w:eastAsia="en-US" w:bidi="ar-SA"/>
      </w:rPr>
    </w:lvl>
    <w:lvl w:ilvl="2" w:tplc="9E2EB746">
      <w:numFmt w:val="bullet"/>
      <w:lvlText w:val="•"/>
      <w:lvlJc w:val="left"/>
      <w:pPr>
        <w:ind w:left="2413" w:hanging="181"/>
      </w:pPr>
      <w:rPr>
        <w:rFonts w:hint="default"/>
        <w:lang w:val="en-US" w:eastAsia="en-US" w:bidi="ar-SA"/>
      </w:rPr>
    </w:lvl>
    <w:lvl w:ilvl="3" w:tplc="9A32FEAC">
      <w:numFmt w:val="bullet"/>
      <w:lvlText w:val="•"/>
      <w:lvlJc w:val="left"/>
      <w:pPr>
        <w:ind w:left="3489" w:hanging="181"/>
      </w:pPr>
      <w:rPr>
        <w:rFonts w:hint="default"/>
        <w:lang w:val="en-US" w:eastAsia="en-US" w:bidi="ar-SA"/>
      </w:rPr>
    </w:lvl>
    <w:lvl w:ilvl="4" w:tplc="C3AAD15A">
      <w:numFmt w:val="bullet"/>
      <w:lvlText w:val="•"/>
      <w:lvlJc w:val="left"/>
      <w:pPr>
        <w:ind w:left="4566" w:hanging="181"/>
      </w:pPr>
      <w:rPr>
        <w:rFonts w:hint="default"/>
        <w:lang w:val="en-US" w:eastAsia="en-US" w:bidi="ar-SA"/>
      </w:rPr>
    </w:lvl>
    <w:lvl w:ilvl="5" w:tplc="2954D094">
      <w:numFmt w:val="bullet"/>
      <w:lvlText w:val="•"/>
      <w:lvlJc w:val="left"/>
      <w:pPr>
        <w:ind w:left="5642" w:hanging="181"/>
      </w:pPr>
      <w:rPr>
        <w:rFonts w:hint="default"/>
        <w:lang w:val="en-US" w:eastAsia="en-US" w:bidi="ar-SA"/>
      </w:rPr>
    </w:lvl>
    <w:lvl w:ilvl="6" w:tplc="5CF23CAC">
      <w:numFmt w:val="bullet"/>
      <w:lvlText w:val="•"/>
      <w:lvlJc w:val="left"/>
      <w:pPr>
        <w:ind w:left="6719" w:hanging="181"/>
      </w:pPr>
      <w:rPr>
        <w:rFonts w:hint="default"/>
        <w:lang w:val="en-US" w:eastAsia="en-US" w:bidi="ar-SA"/>
      </w:rPr>
    </w:lvl>
    <w:lvl w:ilvl="7" w:tplc="FA8EC2A8">
      <w:numFmt w:val="bullet"/>
      <w:lvlText w:val="•"/>
      <w:lvlJc w:val="left"/>
      <w:pPr>
        <w:ind w:left="7795" w:hanging="181"/>
      </w:pPr>
      <w:rPr>
        <w:rFonts w:hint="default"/>
        <w:lang w:val="en-US" w:eastAsia="en-US" w:bidi="ar-SA"/>
      </w:rPr>
    </w:lvl>
    <w:lvl w:ilvl="8" w:tplc="24E6FB50">
      <w:numFmt w:val="bullet"/>
      <w:lvlText w:val="•"/>
      <w:lvlJc w:val="left"/>
      <w:pPr>
        <w:ind w:left="8872" w:hanging="181"/>
      </w:pPr>
      <w:rPr>
        <w:rFonts w:hint="default"/>
        <w:lang w:val="en-US" w:eastAsia="en-US" w:bidi="ar-SA"/>
      </w:rPr>
    </w:lvl>
  </w:abstractNum>
  <w:abstractNum w:abstractNumId="12" w15:restartNumberingAfterBreak="0">
    <w:nsid w:val="589E7892"/>
    <w:multiLevelType w:val="hybridMultilevel"/>
    <w:tmpl w:val="7FB26726"/>
    <w:lvl w:ilvl="0" w:tplc="04080001">
      <w:start w:val="1"/>
      <w:numFmt w:val="bullet"/>
      <w:lvlText w:val=""/>
      <w:lvlJc w:val="left"/>
      <w:pPr>
        <w:ind w:left="980" w:hanging="360"/>
      </w:pPr>
      <w:rPr>
        <w:rFonts w:ascii="Symbol" w:hAnsi="Symbol" w:hint="default"/>
      </w:rPr>
    </w:lvl>
    <w:lvl w:ilvl="1" w:tplc="04080003" w:tentative="1">
      <w:start w:val="1"/>
      <w:numFmt w:val="bullet"/>
      <w:lvlText w:val="o"/>
      <w:lvlJc w:val="left"/>
      <w:pPr>
        <w:ind w:left="1700" w:hanging="360"/>
      </w:pPr>
      <w:rPr>
        <w:rFonts w:ascii="Courier New" w:hAnsi="Courier New" w:cs="Courier New" w:hint="default"/>
      </w:rPr>
    </w:lvl>
    <w:lvl w:ilvl="2" w:tplc="04080005" w:tentative="1">
      <w:start w:val="1"/>
      <w:numFmt w:val="bullet"/>
      <w:lvlText w:val=""/>
      <w:lvlJc w:val="left"/>
      <w:pPr>
        <w:ind w:left="2420" w:hanging="360"/>
      </w:pPr>
      <w:rPr>
        <w:rFonts w:ascii="Wingdings" w:hAnsi="Wingdings" w:hint="default"/>
      </w:rPr>
    </w:lvl>
    <w:lvl w:ilvl="3" w:tplc="04080001" w:tentative="1">
      <w:start w:val="1"/>
      <w:numFmt w:val="bullet"/>
      <w:lvlText w:val=""/>
      <w:lvlJc w:val="left"/>
      <w:pPr>
        <w:ind w:left="3140" w:hanging="360"/>
      </w:pPr>
      <w:rPr>
        <w:rFonts w:ascii="Symbol" w:hAnsi="Symbol" w:hint="default"/>
      </w:rPr>
    </w:lvl>
    <w:lvl w:ilvl="4" w:tplc="04080003" w:tentative="1">
      <w:start w:val="1"/>
      <w:numFmt w:val="bullet"/>
      <w:lvlText w:val="o"/>
      <w:lvlJc w:val="left"/>
      <w:pPr>
        <w:ind w:left="3860" w:hanging="360"/>
      </w:pPr>
      <w:rPr>
        <w:rFonts w:ascii="Courier New" w:hAnsi="Courier New" w:cs="Courier New" w:hint="default"/>
      </w:rPr>
    </w:lvl>
    <w:lvl w:ilvl="5" w:tplc="04080005" w:tentative="1">
      <w:start w:val="1"/>
      <w:numFmt w:val="bullet"/>
      <w:lvlText w:val=""/>
      <w:lvlJc w:val="left"/>
      <w:pPr>
        <w:ind w:left="4580" w:hanging="360"/>
      </w:pPr>
      <w:rPr>
        <w:rFonts w:ascii="Wingdings" w:hAnsi="Wingdings" w:hint="default"/>
      </w:rPr>
    </w:lvl>
    <w:lvl w:ilvl="6" w:tplc="04080001" w:tentative="1">
      <w:start w:val="1"/>
      <w:numFmt w:val="bullet"/>
      <w:lvlText w:val=""/>
      <w:lvlJc w:val="left"/>
      <w:pPr>
        <w:ind w:left="5300" w:hanging="360"/>
      </w:pPr>
      <w:rPr>
        <w:rFonts w:ascii="Symbol" w:hAnsi="Symbol" w:hint="default"/>
      </w:rPr>
    </w:lvl>
    <w:lvl w:ilvl="7" w:tplc="04080003" w:tentative="1">
      <w:start w:val="1"/>
      <w:numFmt w:val="bullet"/>
      <w:lvlText w:val="o"/>
      <w:lvlJc w:val="left"/>
      <w:pPr>
        <w:ind w:left="6020" w:hanging="360"/>
      </w:pPr>
      <w:rPr>
        <w:rFonts w:ascii="Courier New" w:hAnsi="Courier New" w:cs="Courier New" w:hint="default"/>
      </w:rPr>
    </w:lvl>
    <w:lvl w:ilvl="8" w:tplc="04080005" w:tentative="1">
      <w:start w:val="1"/>
      <w:numFmt w:val="bullet"/>
      <w:lvlText w:val=""/>
      <w:lvlJc w:val="left"/>
      <w:pPr>
        <w:ind w:left="6740" w:hanging="360"/>
      </w:pPr>
      <w:rPr>
        <w:rFonts w:ascii="Wingdings" w:hAnsi="Wingdings" w:hint="default"/>
      </w:rPr>
    </w:lvl>
  </w:abstractNum>
  <w:abstractNum w:abstractNumId="13" w15:restartNumberingAfterBreak="0">
    <w:nsid w:val="58BE4938"/>
    <w:multiLevelType w:val="hybridMultilevel"/>
    <w:tmpl w:val="6590B69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C7A7825"/>
    <w:multiLevelType w:val="hybridMultilevel"/>
    <w:tmpl w:val="858EFBC2"/>
    <w:lvl w:ilvl="0" w:tplc="FFFFFFFF">
      <w:numFmt w:val="bullet"/>
      <w:lvlText w:val="•"/>
      <w:lvlJc w:val="left"/>
      <w:pPr>
        <w:ind w:left="423" w:hanging="136"/>
      </w:pPr>
      <w:rPr>
        <w:rFonts w:ascii="Agency FB" w:eastAsia="Agency FB" w:hAnsi="Agency FB" w:cs="Agency FB" w:hint="default"/>
        <w:b w:val="0"/>
        <w:bCs w:val="0"/>
        <w:i w:val="0"/>
        <w:iCs w:val="0"/>
        <w:color w:val="021142"/>
        <w:w w:val="100"/>
        <w:sz w:val="22"/>
        <w:szCs w:val="22"/>
        <w:lang w:val="en-US" w:eastAsia="en-US" w:bidi="ar-SA"/>
      </w:rPr>
    </w:lvl>
    <w:lvl w:ilvl="1" w:tplc="04080005">
      <w:start w:val="1"/>
      <w:numFmt w:val="bullet"/>
      <w:lvlText w:val=""/>
      <w:lvlJc w:val="left"/>
      <w:pPr>
        <w:ind w:left="749" w:hanging="360"/>
      </w:pPr>
      <w:rPr>
        <w:rFonts w:ascii="Wingdings" w:hAnsi="Wingdings" w:hint="default"/>
      </w:rPr>
    </w:lvl>
    <w:lvl w:ilvl="2" w:tplc="FFFFFFFF">
      <w:numFmt w:val="bullet"/>
      <w:lvlText w:val="•"/>
      <w:lvlJc w:val="left"/>
      <w:pPr>
        <w:ind w:left="940" w:hanging="154"/>
      </w:pPr>
      <w:rPr>
        <w:rFonts w:hint="default"/>
        <w:lang w:val="en-US" w:eastAsia="en-US" w:bidi="ar-SA"/>
      </w:rPr>
    </w:lvl>
    <w:lvl w:ilvl="3" w:tplc="FFFFFFFF">
      <w:numFmt w:val="bullet"/>
      <w:lvlText w:val="•"/>
      <w:lvlJc w:val="left"/>
      <w:pPr>
        <w:ind w:left="2200" w:hanging="154"/>
      </w:pPr>
      <w:rPr>
        <w:rFonts w:hint="default"/>
        <w:lang w:val="en-US" w:eastAsia="en-US" w:bidi="ar-SA"/>
      </w:rPr>
    </w:lvl>
    <w:lvl w:ilvl="4" w:tplc="FFFFFFFF">
      <w:numFmt w:val="bullet"/>
      <w:lvlText w:val="•"/>
      <w:lvlJc w:val="left"/>
      <w:pPr>
        <w:ind w:left="3461" w:hanging="154"/>
      </w:pPr>
      <w:rPr>
        <w:rFonts w:hint="default"/>
        <w:lang w:val="en-US" w:eastAsia="en-US" w:bidi="ar-SA"/>
      </w:rPr>
    </w:lvl>
    <w:lvl w:ilvl="5" w:tplc="FFFFFFFF">
      <w:numFmt w:val="bullet"/>
      <w:lvlText w:val="•"/>
      <w:lvlJc w:val="left"/>
      <w:pPr>
        <w:ind w:left="4722" w:hanging="154"/>
      </w:pPr>
      <w:rPr>
        <w:rFonts w:hint="default"/>
        <w:lang w:val="en-US" w:eastAsia="en-US" w:bidi="ar-SA"/>
      </w:rPr>
    </w:lvl>
    <w:lvl w:ilvl="6" w:tplc="FFFFFFFF">
      <w:numFmt w:val="bullet"/>
      <w:lvlText w:val="•"/>
      <w:lvlJc w:val="left"/>
      <w:pPr>
        <w:ind w:left="5982" w:hanging="154"/>
      </w:pPr>
      <w:rPr>
        <w:rFonts w:hint="default"/>
        <w:lang w:val="en-US" w:eastAsia="en-US" w:bidi="ar-SA"/>
      </w:rPr>
    </w:lvl>
    <w:lvl w:ilvl="7" w:tplc="FFFFFFFF">
      <w:numFmt w:val="bullet"/>
      <w:lvlText w:val="•"/>
      <w:lvlJc w:val="left"/>
      <w:pPr>
        <w:ind w:left="7243" w:hanging="154"/>
      </w:pPr>
      <w:rPr>
        <w:rFonts w:hint="default"/>
        <w:lang w:val="en-US" w:eastAsia="en-US" w:bidi="ar-SA"/>
      </w:rPr>
    </w:lvl>
    <w:lvl w:ilvl="8" w:tplc="FFFFFFFF">
      <w:numFmt w:val="bullet"/>
      <w:lvlText w:val="•"/>
      <w:lvlJc w:val="left"/>
      <w:pPr>
        <w:ind w:left="8504" w:hanging="154"/>
      </w:pPr>
      <w:rPr>
        <w:rFonts w:hint="default"/>
        <w:lang w:val="en-US" w:eastAsia="en-US" w:bidi="ar-SA"/>
      </w:rPr>
    </w:lvl>
  </w:abstractNum>
  <w:abstractNum w:abstractNumId="15" w15:restartNumberingAfterBreak="0">
    <w:nsid w:val="5E99691C"/>
    <w:multiLevelType w:val="hybridMultilevel"/>
    <w:tmpl w:val="4388374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38F38CE"/>
    <w:multiLevelType w:val="hybridMultilevel"/>
    <w:tmpl w:val="081EBE1C"/>
    <w:lvl w:ilvl="0" w:tplc="0408000D">
      <w:start w:val="1"/>
      <w:numFmt w:val="bullet"/>
      <w:lvlText w:val=""/>
      <w:lvlJc w:val="left"/>
      <w:pPr>
        <w:ind w:left="749" w:hanging="360"/>
      </w:pPr>
      <w:rPr>
        <w:rFonts w:ascii="Wingdings" w:hAnsi="Wingdings" w:hint="default"/>
      </w:rPr>
    </w:lvl>
    <w:lvl w:ilvl="1" w:tplc="04080003" w:tentative="1">
      <w:start w:val="1"/>
      <w:numFmt w:val="bullet"/>
      <w:lvlText w:val="o"/>
      <w:lvlJc w:val="left"/>
      <w:pPr>
        <w:ind w:left="1469" w:hanging="360"/>
      </w:pPr>
      <w:rPr>
        <w:rFonts w:ascii="Courier New" w:hAnsi="Courier New" w:cs="Courier New" w:hint="default"/>
      </w:rPr>
    </w:lvl>
    <w:lvl w:ilvl="2" w:tplc="04080005" w:tentative="1">
      <w:start w:val="1"/>
      <w:numFmt w:val="bullet"/>
      <w:lvlText w:val=""/>
      <w:lvlJc w:val="left"/>
      <w:pPr>
        <w:ind w:left="2189" w:hanging="360"/>
      </w:pPr>
      <w:rPr>
        <w:rFonts w:ascii="Wingdings" w:hAnsi="Wingdings" w:hint="default"/>
      </w:rPr>
    </w:lvl>
    <w:lvl w:ilvl="3" w:tplc="04080001" w:tentative="1">
      <w:start w:val="1"/>
      <w:numFmt w:val="bullet"/>
      <w:lvlText w:val=""/>
      <w:lvlJc w:val="left"/>
      <w:pPr>
        <w:ind w:left="2909" w:hanging="360"/>
      </w:pPr>
      <w:rPr>
        <w:rFonts w:ascii="Symbol" w:hAnsi="Symbol" w:hint="default"/>
      </w:rPr>
    </w:lvl>
    <w:lvl w:ilvl="4" w:tplc="04080003" w:tentative="1">
      <w:start w:val="1"/>
      <w:numFmt w:val="bullet"/>
      <w:lvlText w:val="o"/>
      <w:lvlJc w:val="left"/>
      <w:pPr>
        <w:ind w:left="3629" w:hanging="360"/>
      </w:pPr>
      <w:rPr>
        <w:rFonts w:ascii="Courier New" w:hAnsi="Courier New" w:cs="Courier New" w:hint="default"/>
      </w:rPr>
    </w:lvl>
    <w:lvl w:ilvl="5" w:tplc="04080005" w:tentative="1">
      <w:start w:val="1"/>
      <w:numFmt w:val="bullet"/>
      <w:lvlText w:val=""/>
      <w:lvlJc w:val="left"/>
      <w:pPr>
        <w:ind w:left="4349" w:hanging="360"/>
      </w:pPr>
      <w:rPr>
        <w:rFonts w:ascii="Wingdings" w:hAnsi="Wingdings" w:hint="default"/>
      </w:rPr>
    </w:lvl>
    <w:lvl w:ilvl="6" w:tplc="04080001" w:tentative="1">
      <w:start w:val="1"/>
      <w:numFmt w:val="bullet"/>
      <w:lvlText w:val=""/>
      <w:lvlJc w:val="left"/>
      <w:pPr>
        <w:ind w:left="5069" w:hanging="360"/>
      </w:pPr>
      <w:rPr>
        <w:rFonts w:ascii="Symbol" w:hAnsi="Symbol" w:hint="default"/>
      </w:rPr>
    </w:lvl>
    <w:lvl w:ilvl="7" w:tplc="04080003" w:tentative="1">
      <w:start w:val="1"/>
      <w:numFmt w:val="bullet"/>
      <w:lvlText w:val="o"/>
      <w:lvlJc w:val="left"/>
      <w:pPr>
        <w:ind w:left="5789" w:hanging="360"/>
      </w:pPr>
      <w:rPr>
        <w:rFonts w:ascii="Courier New" w:hAnsi="Courier New" w:cs="Courier New" w:hint="default"/>
      </w:rPr>
    </w:lvl>
    <w:lvl w:ilvl="8" w:tplc="04080005" w:tentative="1">
      <w:start w:val="1"/>
      <w:numFmt w:val="bullet"/>
      <w:lvlText w:val=""/>
      <w:lvlJc w:val="left"/>
      <w:pPr>
        <w:ind w:left="6509" w:hanging="360"/>
      </w:pPr>
      <w:rPr>
        <w:rFonts w:ascii="Wingdings" w:hAnsi="Wingdings" w:hint="default"/>
      </w:rPr>
    </w:lvl>
  </w:abstractNum>
  <w:abstractNum w:abstractNumId="17" w15:restartNumberingAfterBreak="0">
    <w:nsid w:val="63D234E7"/>
    <w:multiLevelType w:val="hybridMultilevel"/>
    <w:tmpl w:val="0E3C8214"/>
    <w:lvl w:ilvl="0" w:tplc="89BECE3E">
      <w:numFmt w:val="bullet"/>
      <w:lvlText w:val="•"/>
      <w:lvlJc w:val="left"/>
      <w:pPr>
        <w:ind w:left="423" w:hanging="136"/>
      </w:pPr>
      <w:rPr>
        <w:rFonts w:ascii="Agency FB" w:eastAsia="Agency FB" w:hAnsi="Agency FB" w:cs="Agency FB" w:hint="default"/>
        <w:b w:val="0"/>
        <w:bCs w:val="0"/>
        <w:i w:val="0"/>
        <w:iCs w:val="0"/>
        <w:color w:val="021142"/>
        <w:w w:val="100"/>
        <w:sz w:val="22"/>
        <w:szCs w:val="22"/>
        <w:lang w:val="en-US" w:eastAsia="en-US" w:bidi="ar-SA"/>
      </w:rPr>
    </w:lvl>
    <w:lvl w:ilvl="1" w:tplc="0408000D">
      <w:start w:val="1"/>
      <w:numFmt w:val="bullet"/>
      <w:lvlText w:val=""/>
      <w:lvlJc w:val="left"/>
      <w:pPr>
        <w:ind w:left="749" w:hanging="360"/>
      </w:pPr>
      <w:rPr>
        <w:rFonts w:ascii="Wingdings" w:hAnsi="Wingdings" w:hint="default"/>
      </w:rPr>
    </w:lvl>
    <w:lvl w:ilvl="2" w:tplc="C7662DDA">
      <w:numFmt w:val="bullet"/>
      <w:lvlText w:val="•"/>
      <w:lvlJc w:val="left"/>
      <w:pPr>
        <w:ind w:left="940" w:hanging="154"/>
      </w:pPr>
      <w:rPr>
        <w:rFonts w:hint="default"/>
        <w:lang w:val="en-US" w:eastAsia="en-US" w:bidi="ar-SA"/>
      </w:rPr>
    </w:lvl>
    <w:lvl w:ilvl="3" w:tplc="6FC6807C">
      <w:numFmt w:val="bullet"/>
      <w:lvlText w:val="•"/>
      <w:lvlJc w:val="left"/>
      <w:pPr>
        <w:ind w:left="2200" w:hanging="154"/>
      </w:pPr>
      <w:rPr>
        <w:rFonts w:hint="default"/>
        <w:lang w:val="en-US" w:eastAsia="en-US" w:bidi="ar-SA"/>
      </w:rPr>
    </w:lvl>
    <w:lvl w:ilvl="4" w:tplc="9FBA15D8">
      <w:numFmt w:val="bullet"/>
      <w:lvlText w:val="•"/>
      <w:lvlJc w:val="left"/>
      <w:pPr>
        <w:ind w:left="3461" w:hanging="154"/>
      </w:pPr>
      <w:rPr>
        <w:rFonts w:hint="default"/>
        <w:lang w:val="en-US" w:eastAsia="en-US" w:bidi="ar-SA"/>
      </w:rPr>
    </w:lvl>
    <w:lvl w:ilvl="5" w:tplc="813EA026">
      <w:numFmt w:val="bullet"/>
      <w:lvlText w:val="•"/>
      <w:lvlJc w:val="left"/>
      <w:pPr>
        <w:ind w:left="4722" w:hanging="154"/>
      </w:pPr>
      <w:rPr>
        <w:rFonts w:hint="default"/>
        <w:lang w:val="en-US" w:eastAsia="en-US" w:bidi="ar-SA"/>
      </w:rPr>
    </w:lvl>
    <w:lvl w:ilvl="6" w:tplc="67DA8DD6">
      <w:numFmt w:val="bullet"/>
      <w:lvlText w:val="•"/>
      <w:lvlJc w:val="left"/>
      <w:pPr>
        <w:ind w:left="5982" w:hanging="154"/>
      </w:pPr>
      <w:rPr>
        <w:rFonts w:hint="default"/>
        <w:lang w:val="en-US" w:eastAsia="en-US" w:bidi="ar-SA"/>
      </w:rPr>
    </w:lvl>
    <w:lvl w:ilvl="7" w:tplc="D28A99A8">
      <w:numFmt w:val="bullet"/>
      <w:lvlText w:val="•"/>
      <w:lvlJc w:val="left"/>
      <w:pPr>
        <w:ind w:left="7243" w:hanging="154"/>
      </w:pPr>
      <w:rPr>
        <w:rFonts w:hint="default"/>
        <w:lang w:val="en-US" w:eastAsia="en-US" w:bidi="ar-SA"/>
      </w:rPr>
    </w:lvl>
    <w:lvl w:ilvl="8" w:tplc="4B9E72FC">
      <w:numFmt w:val="bullet"/>
      <w:lvlText w:val="•"/>
      <w:lvlJc w:val="left"/>
      <w:pPr>
        <w:ind w:left="8504" w:hanging="154"/>
      </w:pPr>
      <w:rPr>
        <w:rFonts w:hint="default"/>
        <w:lang w:val="en-US" w:eastAsia="en-US" w:bidi="ar-SA"/>
      </w:rPr>
    </w:lvl>
  </w:abstractNum>
  <w:abstractNum w:abstractNumId="18" w15:restartNumberingAfterBreak="0">
    <w:nsid w:val="64DC1CE0"/>
    <w:multiLevelType w:val="hybridMultilevel"/>
    <w:tmpl w:val="DDB2AFAE"/>
    <w:lvl w:ilvl="0" w:tplc="5D5C210C">
      <w:numFmt w:val="bullet"/>
      <w:lvlText w:val="•"/>
      <w:lvlJc w:val="left"/>
      <w:pPr>
        <w:ind w:left="260" w:hanging="158"/>
      </w:pPr>
      <w:rPr>
        <w:rFonts w:ascii="Agency FB" w:eastAsia="Agency FB" w:hAnsi="Agency FB" w:cs="Agency FB" w:hint="default"/>
        <w:b w:val="0"/>
        <w:bCs w:val="0"/>
        <w:i w:val="0"/>
        <w:iCs w:val="0"/>
        <w:color w:val="021142"/>
        <w:w w:val="100"/>
        <w:sz w:val="22"/>
        <w:szCs w:val="22"/>
        <w:lang w:val="en-US" w:eastAsia="en-US" w:bidi="ar-SA"/>
      </w:rPr>
    </w:lvl>
    <w:lvl w:ilvl="1" w:tplc="2FDA390E">
      <w:numFmt w:val="bullet"/>
      <w:lvlText w:val="•"/>
      <w:lvlJc w:val="left"/>
      <w:pPr>
        <w:ind w:left="1336" w:hanging="158"/>
      </w:pPr>
      <w:rPr>
        <w:rFonts w:hint="default"/>
        <w:lang w:val="en-US" w:eastAsia="en-US" w:bidi="ar-SA"/>
      </w:rPr>
    </w:lvl>
    <w:lvl w:ilvl="2" w:tplc="50FC4522">
      <w:numFmt w:val="bullet"/>
      <w:lvlText w:val="•"/>
      <w:lvlJc w:val="left"/>
      <w:pPr>
        <w:ind w:left="2413" w:hanging="158"/>
      </w:pPr>
      <w:rPr>
        <w:rFonts w:hint="default"/>
        <w:lang w:val="en-US" w:eastAsia="en-US" w:bidi="ar-SA"/>
      </w:rPr>
    </w:lvl>
    <w:lvl w:ilvl="3" w:tplc="BEA2C590">
      <w:numFmt w:val="bullet"/>
      <w:lvlText w:val="•"/>
      <w:lvlJc w:val="left"/>
      <w:pPr>
        <w:ind w:left="3489" w:hanging="158"/>
      </w:pPr>
      <w:rPr>
        <w:rFonts w:hint="default"/>
        <w:lang w:val="en-US" w:eastAsia="en-US" w:bidi="ar-SA"/>
      </w:rPr>
    </w:lvl>
    <w:lvl w:ilvl="4" w:tplc="D35AA2F4">
      <w:numFmt w:val="bullet"/>
      <w:lvlText w:val="•"/>
      <w:lvlJc w:val="left"/>
      <w:pPr>
        <w:ind w:left="4566" w:hanging="158"/>
      </w:pPr>
      <w:rPr>
        <w:rFonts w:hint="default"/>
        <w:lang w:val="en-US" w:eastAsia="en-US" w:bidi="ar-SA"/>
      </w:rPr>
    </w:lvl>
    <w:lvl w:ilvl="5" w:tplc="12D25B06">
      <w:numFmt w:val="bullet"/>
      <w:lvlText w:val="•"/>
      <w:lvlJc w:val="left"/>
      <w:pPr>
        <w:ind w:left="5642" w:hanging="158"/>
      </w:pPr>
      <w:rPr>
        <w:rFonts w:hint="default"/>
        <w:lang w:val="en-US" w:eastAsia="en-US" w:bidi="ar-SA"/>
      </w:rPr>
    </w:lvl>
    <w:lvl w:ilvl="6" w:tplc="59520410">
      <w:numFmt w:val="bullet"/>
      <w:lvlText w:val="•"/>
      <w:lvlJc w:val="left"/>
      <w:pPr>
        <w:ind w:left="6719" w:hanging="158"/>
      </w:pPr>
      <w:rPr>
        <w:rFonts w:hint="default"/>
        <w:lang w:val="en-US" w:eastAsia="en-US" w:bidi="ar-SA"/>
      </w:rPr>
    </w:lvl>
    <w:lvl w:ilvl="7" w:tplc="4A50577A">
      <w:numFmt w:val="bullet"/>
      <w:lvlText w:val="•"/>
      <w:lvlJc w:val="left"/>
      <w:pPr>
        <w:ind w:left="7795" w:hanging="158"/>
      </w:pPr>
      <w:rPr>
        <w:rFonts w:hint="default"/>
        <w:lang w:val="en-US" w:eastAsia="en-US" w:bidi="ar-SA"/>
      </w:rPr>
    </w:lvl>
    <w:lvl w:ilvl="8" w:tplc="44165274">
      <w:numFmt w:val="bullet"/>
      <w:lvlText w:val="•"/>
      <w:lvlJc w:val="left"/>
      <w:pPr>
        <w:ind w:left="8872" w:hanging="158"/>
      </w:pPr>
      <w:rPr>
        <w:rFonts w:hint="default"/>
        <w:lang w:val="en-US" w:eastAsia="en-US" w:bidi="ar-SA"/>
      </w:rPr>
    </w:lvl>
  </w:abstractNum>
  <w:abstractNum w:abstractNumId="19" w15:restartNumberingAfterBreak="0">
    <w:nsid w:val="67672D8A"/>
    <w:multiLevelType w:val="hybridMultilevel"/>
    <w:tmpl w:val="902EBED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95028029">
    <w:abstractNumId w:val="2"/>
  </w:num>
  <w:num w:numId="2" w16cid:durableId="1971738239">
    <w:abstractNumId w:val="6"/>
  </w:num>
  <w:num w:numId="3" w16cid:durableId="1747410051">
    <w:abstractNumId w:val="18"/>
  </w:num>
  <w:num w:numId="4" w16cid:durableId="1218275415">
    <w:abstractNumId w:val="11"/>
  </w:num>
  <w:num w:numId="5" w16cid:durableId="465247509">
    <w:abstractNumId w:val="17"/>
  </w:num>
  <w:num w:numId="6" w16cid:durableId="1012299667">
    <w:abstractNumId w:val="7"/>
  </w:num>
  <w:num w:numId="7" w16cid:durableId="1871455777">
    <w:abstractNumId w:val="19"/>
  </w:num>
  <w:num w:numId="8" w16cid:durableId="1771971213">
    <w:abstractNumId w:val="0"/>
  </w:num>
  <w:num w:numId="9" w16cid:durableId="383261671">
    <w:abstractNumId w:val="12"/>
  </w:num>
  <w:num w:numId="10" w16cid:durableId="440564306">
    <w:abstractNumId w:val="4"/>
  </w:num>
  <w:num w:numId="11" w16cid:durableId="1843811380">
    <w:abstractNumId w:val="3"/>
  </w:num>
  <w:num w:numId="12" w16cid:durableId="1046639085">
    <w:abstractNumId w:val="9"/>
  </w:num>
  <w:num w:numId="13" w16cid:durableId="625962814">
    <w:abstractNumId w:val="5"/>
  </w:num>
  <w:num w:numId="14" w16cid:durableId="1786071740">
    <w:abstractNumId w:val="15"/>
  </w:num>
  <w:num w:numId="15" w16cid:durableId="2128231749">
    <w:abstractNumId w:val="14"/>
  </w:num>
  <w:num w:numId="16" w16cid:durableId="2031569919">
    <w:abstractNumId w:val="8"/>
  </w:num>
  <w:num w:numId="17" w16cid:durableId="360742602">
    <w:abstractNumId w:val="16"/>
  </w:num>
  <w:num w:numId="18" w16cid:durableId="1572078844">
    <w:abstractNumId w:val="10"/>
  </w:num>
  <w:num w:numId="19" w16cid:durableId="320159073">
    <w:abstractNumId w:val="1"/>
  </w:num>
  <w:num w:numId="20" w16cid:durableId="10664897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18"/>
    <w:rsid w:val="00001971"/>
    <w:rsid w:val="000027B6"/>
    <w:rsid w:val="000029A0"/>
    <w:rsid w:val="000037EA"/>
    <w:rsid w:val="000046A0"/>
    <w:rsid w:val="0000497E"/>
    <w:rsid w:val="00006D06"/>
    <w:rsid w:val="00007D9B"/>
    <w:rsid w:val="00012841"/>
    <w:rsid w:val="00020F0D"/>
    <w:rsid w:val="00021135"/>
    <w:rsid w:val="00021556"/>
    <w:rsid w:val="0002224A"/>
    <w:rsid w:val="00022347"/>
    <w:rsid w:val="000234F5"/>
    <w:rsid w:val="000236DB"/>
    <w:rsid w:val="00025B97"/>
    <w:rsid w:val="00026226"/>
    <w:rsid w:val="00026243"/>
    <w:rsid w:val="00026549"/>
    <w:rsid w:val="00027850"/>
    <w:rsid w:val="00030208"/>
    <w:rsid w:val="000311BD"/>
    <w:rsid w:val="00031669"/>
    <w:rsid w:val="00032731"/>
    <w:rsid w:val="000328E8"/>
    <w:rsid w:val="000364C0"/>
    <w:rsid w:val="00042369"/>
    <w:rsid w:val="00043CF7"/>
    <w:rsid w:val="000441A2"/>
    <w:rsid w:val="00044CB7"/>
    <w:rsid w:val="000456E9"/>
    <w:rsid w:val="00046E94"/>
    <w:rsid w:val="00047EA2"/>
    <w:rsid w:val="00050896"/>
    <w:rsid w:val="00051251"/>
    <w:rsid w:val="000517C0"/>
    <w:rsid w:val="000520E5"/>
    <w:rsid w:val="000527B1"/>
    <w:rsid w:val="000547FF"/>
    <w:rsid w:val="00055974"/>
    <w:rsid w:val="0005779D"/>
    <w:rsid w:val="00057E86"/>
    <w:rsid w:val="000600FF"/>
    <w:rsid w:val="0006095F"/>
    <w:rsid w:val="00061434"/>
    <w:rsid w:val="00064144"/>
    <w:rsid w:val="00064351"/>
    <w:rsid w:val="000654C1"/>
    <w:rsid w:val="000655B9"/>
    <w:rsid w:val="000661D5"/>
    <w:rsid w:val="000718C5"/>
    <w:rsid w:val="00071AA5"/>
    <w:rsid w:val="00072A4B"/>
    <w:rsid w:val="00073BD3"/>
    <w:rsid w:val="000754EF"/>
    <w:rsid w:val="000773AE"/>
    <w:rsid w:val="0008220A"/>
    <w:rsid w:val="000841E4"/>
    <w:rsid w:val="00084B58"/>
    <w:rsid w:val="00085A51"/>
    <w:rsid w:val="00090C65"/>
    <w:rsid w:val="00091750"/>
    <w:rsid w:val="000925E9"/>
    <w:rsid w:val="000945B9"/>
    <w:rsid w:val="00095714"/>
    <w:rsid w:val="00097B09"/>
    <w:rsid w:val="000A0116"/>
    <w:rsid w:val="000A2ACD"/>
    <w:rsid w:val="000B1A33"/>
    <w:rsid w:val="000B2486"/>
    <w:rsid w:val="000B2F3B"/>
    <w:rsid w:val="000B3668"/>
    <w:rsid w:val="000B5C91"/>
    <w:rsid w:val="000B7668"/>
    <w:rsid w:val="000C56AE"/>
    <w:rsid w:val="000C5FF0"/>
    <w:rsid w:val="000C6A96"/>
    <w:rsid w:val="000D2983"/>
    <w:rsid w:val="000D2D2C"/>
    <w:rsid w:val="000D388F"/>
    <w:rsid w:val="000D3B78"/>
    <w:rsid w:val="000D439C"/>
    <w:rsid w:val="000D4465"/>
    <w:rsid w:val="000D6440"/>
    <w:rsid w:val="000E1422"/>
    <w:rsid w:val="000E2AA1"/>
    <w:rsid w:val="000E3A2C"/>
    <w:rsid w:val="000E4280"/>
    <w:rsid w:val="000E4DF5"/>
    <w:rsid w:val="000E580D"/>
    <w:rsid w:val="000F187C"/>
    <w:rsid w:val="000F216F"/>
    <w:rsid w:val="000F255A"/>
    <w:rsid w:val="000F293E"/>
    <w:rsid w:val="000F30E5"/>
    <w:rsid w:val="000F5589"/>
    <w:rsid w:val="00100F93"/>
    <w:rsid w:val="001015F9"/>
    <w:rsid w:val="001058C5"/>
    <w:rsid w:val="001076FD"/>
    <w:rsid w:val="00107E74"/>
    <w:rsid w:val="001103FF"/>
    <w:rsid w:val="001105C8"/>
    <w:rsid w:val="0011093A"/>
    <w:rsid w:val="00113393"/>
    <w:rsid w:val="0011439A"/>
    <w:rsid w:val="001147D2"/>
    <w:rsid w:val="0011677D"/>
    <w:rsid w:val="00117598"/>
    <w:rsid w:val="001175E5"/>
    <w:rsid w:val="00120AD5"/>
    <w:rsid w:val="00122DA4"/>
    <w:rsid w:val="00122FC0"/>
    <w:rsid w:val="00123DB7"/>
    <w:rsid w:val="0012420A"/>
    <w:rsid w:val="001251B0"/>
    <w:rsid w:val="00125671"/>
    <w:rsid w:val="001301F7"/>
    <w:rsid w:val="00130212"/>
    <w:rsid w:val="00133D75"/>
    <w:rsid w:val="00135F1B"/>
    <w:rsid w:val="00137F8E"/>
    <w:rsid w:val="00141E00"/>
    <w:rsid w:val="001420C9"/>
    <w:rsid w:val="001427D3"/>
    <w:rsid w:val="00143175"/>
    <w:rsid w:val="00153A8E"/>
    <w:rsid w:val="001549D5"/>
    <w:rsid w:val="0015564C"/>
    <w:rsid w:val="001557A1"/>
    <w:rsid w:val="001559B1"/>
    <w:rsid w:val="001563E0"/>
    <w:rsid w:val="00156C33"/>
    <w:rsid w:val="00156C86"/>
    <w:rsid w:val="001628D0"/>
    <w:rsid w:val="00162CF7"/>
    <w:rsid w:val="00164566"/>
    <w:rsid w:val="00165405"/>
    <w:rsid w:val="00165625"/>
    <w:rsid w:val="00165FAA"/>
    <w:rsid w:val="00170542"/>
    <w:rsid w:val="0017074C"/>
    <w:rsid w:val="00171B44"/>
    <w:rsid w:val="00175163"/>
    <w:rsid w:val="0018110C"/>
    <w:rsid w:val="00181D27"/>
    <w:rsid w:val="001835A5"/>
    <w:rsid w:val="00184FFF"/>
    <w:rsid w:val="001850FA"/>
    <w:rsid w:val="00190A52"/>
    <w:rsid w:val="00192E20"/>
    <w:rsid w:val="001931E1"/>
    <w:rsid w:val="00193A34"/>
    <w:rsid w:val="001951BB"/>
    <w:rsid w:val="00195AAC"/>
    <w:rsid w:val="001965CB"/>
    <w:rsid w:val="00197117"/>
    <w:rsid w:val="00197DD9"/>
    <w:rsid w:val="001A025B"/>
    <w:rsid w:val="001A16C6"/>
    <w:rsid w:val="001A1CAC"/>
    <w:rsid w:val="001A4D90"/>
    <w:rsid w:val="001A5261"/>
    <w:rsid w:val="001A5613"/>
    <w:rsid w:val="001A6A8D"/>
    <w:rsid w:val="001B0A99"/>
    <w:rsid w:val="001B17A1"/>
    <w:rsid w:val="001B1835"/>
    <w:rsid w:val="001B2602"/>
    <w:rsid w:val="001B26E3"/>
    <w:rsid w:val="001B2AC2"/>
    <w:rsid w:val="001B3D1C"/>
    <w:rsid w:val="001B57BB"/>
    <w:rsid w:val="001B6E97"/>
    <w:rsid w:val="001C1081"/>
    <w:rsid w:val="001C1DC0"/>
    <w:rsid w:val="001C23C3"/>
    <w:rsid w:val="001C2E83"/>
    <w:rsid w:val="001C2FC4"/>
    <w:rsid w:val="001C4F15"/>
    <w:rsid w:val="001C5310"/>
    <w:rsid w:val="001C5F9D"/>
    <w:rsid w:val="001C6385"/>
    <w:rsid w:val="001C644F"/>
    <w:rsid w:val="001D2528"/>
    <w:rsid w:val="001D2C7D"/>
    <w:rsid w:val="001D4C7E"/>
    <w:rsid w:val="001D6764"/>
    <w:rsid w:val="001D7737"/>
    <w:rsid w:val="001D7DC0"/>
    <w:rsid w:val="001E4853"/>
    <w:rsid w:val="001E56F5"/>
    <w:rsid w:val="001E6A59"/>
    <w:rsid w:val="001E705B"/>
    <w:rsid w:val="001F6436"/>
    <w:rsid w:val="00200380"/>
    <w:rsid w:val="00201E03"/>
    <w:rsid w:val="0020712E"/>
    <w:rsid w:val="0020732E"/>
    <w:rsid w:val="0020740E"/>
    <w:rsid w:val="00215270"/>
    <w:rsid w:val="002206AE"/>
    <w:rsid w:val="00220A88"/>
    <w:rsid w:val="002220C3"/>
    <w:rsid w:val="00222199"/>
    <w:rsid w:val="00224B9E"/>
    <w:rsid w:val="002250E1"/>
    <w:rsid w:val="002268C2"/>
    <w:rsid w:val="0022762B"/>
    <w:rsid w:val="0023101D"/>
    <w:rsid w:val="002314DB"/>
    <w:rsid w:val="00234162"/>
    <w:rsid w:val="00235C13"/>
    <w:rsid w:val="002402EA"/>
    <w:rsid w:val="002442DF"/>
    <w:rsid w:val="002474E0"/>
    <w:rsid w:val="00250507"/>
    <w:rsid w:val="0025128C"/>
    <w:rsid w:val="00251666"/>
    <w:rsid w:val="0025202B"/>
    <w:rsid w:val="0025309D"/>
    <w:rsid w:val="002544BF"/>
    <w:rsid w:val="00260273"/>
    <w:rsid w:val="002616EF"/>
    <w:rsid w:val="0026340B"/>
    <w:rsid w:val="00266818"/>
    <w:rsid w:val="00267889"/>
    <w:rsid w:val="00267C9E"/>
    <w:rsid w:val="00272EFB"/>
    <w:rsid w:val="00273600"/>
    <w:rsid w:val="002755F8"/>
    <w:rsid w:val="0027625F"/>
    <w:rsid w:val="00277512"/>
    <w:rsid w:val="00280E7B"/>
    <w:rsid w:val="0028117D"/>
    <w:rsid w:val="002822A3"/>
    <w:rsid w:val="0028320D"/>
    <w:rsid w:val="00284BA5"/>
    <w:rsid w:val="00285CDF"/>
    <w:rsid w:val="00286A01"/>
    <w:rsid w:val="00287A15"/>
    <w:rsid w:val="00287A49"/>
    <w:rsid w:val="00290105"/>
    <w:rsid w:val="00292633"/>
    <w:rsid w:val="00293057"/>
    <w:rsid w:val="00296A05"/>
    <w:rsid w:val="002A0C11"/>
    <w:rsid w:val="002A0E41"/>
    <w:rsid w:val="002A2B91"/>
    <w:rsid w:val="002A2E49"/>
    <w:rsid w:val="002A4589"/>
    <w:rsid w:val="002A4BE1"/>
    <w:rsid w:val="002A4E82"/>
    <w:rsid w:val="002A628C"/>
    <w:rsid w:val="002A738F"/>
    <w:rsid w:val="002B193D"/>
    <w:rsid w:val="002B4A24"/>
    <w:rsid w:val="002B55B1"/>
    <w:rsid w:val="002B7205"/>
    <w:rsid w:val="002B7353"/>
    <w:rsid w:val="002C14DC"/>
    <w:rsid w:val="002C1E0E"/>
    <w:rsid w:val="002C1FAE"/>
    <w:rsid w:val="002C2E0C"/>
    <w:rsid w:val="002C5210"/>
    <w:rsid w:val="002C57C7"/>
    <w:rsid w:val="002C6C97"/>
    <w:rsid w:val="002C76D3"/>
    <w:rsid w:val="002D0C85"/>
    <w:rsid w:val="002D5275"/>
    <w:rsid w:val="002D55E0"/>
    <w:rsid w:val="002D5F23"/>
    <w:rsid w:val="002D6F1A"/>
    <w:rsid w:val="002E08D3"/>
    <w:rsid w:val="002E09E5"/>
    <w:rsid w:val="002E180C"/>
    <w:rsid w:val="002E5504"/>
    <w:rsid w:val="002E76D0"/>
    <w:rsid w:val="002E76F2"/>
    <w:rsid w:val="002F0189"/>
    <w:rsid w:val="002F194E"/>
    <w:rsid w:val="002F37F1"/>
    <w:rsid w:val="002F403A"/>
    <w:rsid w:val="002F4C98"/>
    <w:rsid w:val="002F4D5B"/>
    <w:rsid w:val="003004DD"/>
    <w:rsid w:val="00302122"/>
    <w:rsid w:val="0030399A"/>
    <w:rsid w:val="00304059"/>
    <w:rsid w:val="0030612E"/>
    <w:rsid w:val="00307D31"/>
    <w:rsid w:val="00311927"/>
    <w:rsid w:val="00311CC6"/>
    <w:rsid w:val="00312279"/>
    <w:rsid w:val="00313DAE"/>
    <w:rsid w:val="00314E0D"/>
    <w:rsid w:val="003150D8"/>
    <w:rsid w:val="00315296"/>
    <w:rsid w:val="00315568"/>
    <w:rsid w:val="00315B39"/>
    <w:rsid w:val="003162C7"/>
    <w:rsid w:val="00316D1B"/>
    <w:rsid w:val="003170CC"/>
    <w:rsid w:val="00325125"/>
    <w:rsid w:val="00325421"/>
    <w:rsid w:val="00325B71"/>
    <w:rsid w:val="003277BD"/>
    <w:rsid w:val="003303A6"/>
    <w:rsid w:val="0033088B"/>
    <w:rsid w:val="00331832"/>
    <w:rsid w:val="00331CAD"/>
    <w:rsid w:val="00340FBA"/>
    <w:rsid w:val="00340FCC"/>
    <w:rsid w:val="00342D22"/>
    <w:rsid w:val="00345C24"/>
    <w:rsid w:val="00346476"/>
    <w:rsid w:val="00347654"/>
    <w:rsid w:val="00351A8D"/>
    <w:rsid w:val="00353704"/>
    <w:rsid w:val="003570AB"/>
    <w:rsid w:val="00357B66"/>
    <w:rsid w:val="00360D3A"/>
    <w:rsid w:val="00361295"/>
    <w:rsid w:val="0036374A"/>
    <w:rsid w:val="00363C0D"/>
    <w:rsid w:val="00363ECF"/>
    <w:rsid w:val="00364250"/>
    <w:rsid w:val="00364C43"/>
    <w:rsid w:val="00365459"/>
    <w:rsid w:val="00365A96"/>
    <w:rsid w:val="003660A7"/>
    <w:rsid w:val="00367961"/>
    <w:rsid w:val="00370545"/>
    <w:rsid w:val="0037289F"/>
    <w:rsid w:val="00372FE0"/>
    <w:rsid w:val="00373BA8"/>
    <w:rsid w:val="00376337"/>
    <w:rsid w:val="003767C7"/>
    <w:rsid w:val="00376B95"/>
    <w:rsid w:val="00380FCE"/>
    <w:rsid w:val="003840CC"/>
    <w:rsid w:val="003856C8"/>
    <w:rsid w:val="00386235"/>
    <w:rsid w:val="0038746B"/>
    <w:rsid w:val="0039063F"/>
    <w:rsid w:val="00390845"/>
    <w:rsid w:val="003909FC"/>
    <w:rsid w:val="003917C4"/>
    <w:rsid w:val="00391B5C"/>
    <w:rsid w:val="00392B10"/>
    <w:rsid w:val="00393623"/>
    <w:rsid w:val="00393F78"/>
    <w:rsid w:val="003964D0"/>
    <w:rsid w:val="0039759B"/>
    <w:rsid w:val="003977C9"/>
    <w:rsid w:val="003A0464"/>
    <w:rsid w:val="003A0E8F"/>
    <w:rsid w:val="003A1871"/>
    <w:rsid w:val="003A2E50"/>
    <w:rsid w:val="003A316C"/>
    <w:rsid w:val="003A376A"/>
    <w:rsid w:val="003A4D40"/>
    <w:rsid w:val="003A4EA2"/>
    <w:rsid w:val="003A5421"/>
    <w:rsid w:val="003A741C"/>
    <w:rsid w:val="003A779D"/>
    <w:rsid w:val="003B7365"/>
    <w:rsid w:val="003C0157"/>
    <w:rsid w:val="003C0413"/>
    <w:rsid w:val="003C1672"/>
    <w:rsid w:val="003C350F"/>
    <w:rsid w:val="003C3FED"/>
    <w:rsid w:val="003C5735"/>
    <w:rsid w:val="003C5F06"/>
    <w:rsid w:val="003C6B94"/>
    <w:rsid w:val="003C7C10"/>
    <w:rsid w:val="003D19B4"/>
    <w:rsid w:val="003D2DCD"/>
    <w:rsid w:val="003D3081"/>
    <w:rsid w:val="003D3D05"/>
    <w:rsid w:val="003D46C2"/>
    <w:rsid w:val="003D5669"/>
    <w:rsid w:val="003E1178"/>
    <w:rsid w:val="003E192E"/>
    <w:rsid w:val="003E1E32"/>
    <w:rsid w:val="003E29AE"/>
    <w:rsid w:val="003E2A18"/>
    <w:rsid w:val="003E2E8D"/>
    <w:rsid w:val="003E30C2"/>
    <w:rsid w:val="003E593E"/>
    <w:rsid w:val="003E6338"/>
    <w:rsid w:val="003E6B27"/>
    <w:rsid w:val="003F2E3E"/>
    <w:rsid w:val="003F4F61"/>
    <w:rsid w:val="003F522D"/>
    <w:rsid w:val="003F55F4"/>
    <w:rsid w:val="003F6D6B"/>
    <w:rsid w:val="0040283B"/>
    <w:rsid w:val="00403B1C"/>
    <w:rsid w:val="00403DE3"/>
    <w:rsid w:val="004072F4"/>
    <w:rsid w:val="00412CA3"/>
    <w:rsid w:val="004132CB"/>
    <w:rsid w:val="004140AA"/>
    <w:rsid w:val="00416CC7"/>
    <w:rsid w:val="00417265"/>
    <w:rsid w:val="00417908"/>
    <w:rsid w:val="00421313"/>
    <w:rsid w:val="00423A9E"/>
    <w:rsid w:val="004249AA"/>
    <w:rsid w:val="004260C4"/>
    <w:rsid w:val="00430249"/>
    <w:rsid w:val="004320BE"/>
    <w:rsid w:val="00432117"/>
    <w:rsid w:val="00433F06"/>
    <w:rsid w:val="00435B57"/>
    <w:rsid w:val="00435D86"/>
    <w:rsid w:val="004379E2"/>
    <w:rsid w:val="00442584"/>
    <w:rsid w:val="00445AE7"/>
    <w:rsid w:val="004510AF"/>
    <w:rsid w:val="00451E2C"/>
    <w:rsid w:val="00453B2E"/>
    <w:rsid w:val="004546DF"/>
    <w:rsid w:val="00456037"/>
    <w:rsid w:val="0045632B"/>
    <w:rsid w:val="00456E15"/>
    <w:rsid w:val="00460295"/>
    <w:rsid w:val="00461FEF"/>
    <w:rsid w:val="00465563"/>
    <w:rsid w:val="00465684"/>
    <w:rsid w:val="00465F3D"/>
    <w:rsid w:val="004673FF"/>
    <w:rsid w:val="00471743"/>
    <w:rsid w:val="00471AAF"/>
    <w:rsid w:val="00473EA4"/>
    <w:rsid w:val="00474C8E"/>
    <w:rsid w:val="0047723F"/>
    <w:rsid w:val="004773FD"/>
    <w:rsid w:val="00477CCD"/>
    <w:rsid w:val="00480125"/>
    <w:rsid w:val="004805BF"/>
    <w:rsid w:val="00480768"/>
    <w:rsid w:val="00480AA4"/>
    <w:rsid w:val="00480F71"/>
    <w:rsid w:val="00481724"/>
    <w:rsid w:val="00481733"/>
    <w:rsid w:val="004817C9"/>
    <w:rsid w:val="00483C8B"/>
    <w:rsid w:val="004841F3"/>
    <w:rsid w:val="00484F12"/>
    <w:rsid w:val="00485E4C"/>
    <w:rsid w:val="00486328"/>
    <w:rsid w:val="00487334"/>
    <w:rsid w:val="0049268C"/>
    <w:rsid w:val="00494810"/>
    <w:rsid w:val="0049653A"/>
    <w:rsid w:val="00496CD7"/>
    <w:rsid w:val="00497AD5"/>
    <w:rsid w:val="004A1EF9"/>
    <w:rsid w:val="004A4C4F"/>
    <w:rsid w:val="004A50A0"/>
    <w:rsid w:val="004A69DB"/>
    <w:rsid w:val="004A6EDD"/>
    <w:rsid w:val="004A73D2"/>
    <w:rsid w:val="004B1460"/>
    <w:rsid w:val="004B2884"/>
    <w:rsid w:val="004B2B97"/>
    <w:rsid w:val="004B3A0B"/>
    <w:rsid w:val="004B3A1B"/>
    <w:rsid w:val="004B7D9E"/>
    <w:rsid w:val="004C042E"/>
    <w:rsid w:val="004C0EC2"/>
    <w:rsid w:val="004C2D80"/>
    <w:rsid w:val="004C33CF"/>
    <w:rsid w:val="004C5B79"/>
    <w:rsid w:val="004C6282"/>
    <w:rsid w:val="004C6745"/>
    <w:rsid w:val="004D1E8A"/>
    <w:rsid w:val="004D2A84"/>
    <w:rsid w:val="004D2F90"/>
    <w:rsid w:val="004D3FBC"/>
    <w:rsid w:val="004D3FD6"/>
    <w:rsid w:val="004D603E"/>
    <w:rsid w:val="004D78CF"/>
    <w:rsid w:val="004E205D"/>
    <w:rsid w:val="004E2148"/>
    <w:rsid w:val="004E246F"/>
    <w:rsid w:val="004E3161"/>
    <w:rsid w:val="004E328B"/>
    <w:rsid w:val="004E398A"/>
    <w:rsid w:val="004E470E"/>
    <w:rsid w:val="004E7222"/>
    <w:rsid w:val="004E7D13"/>
    <w:rsid w:val="004F01F1"/>
    <w:rsid w:val="004F337F"/>
    <w:rsid w:val="004F36AE"/>
    <w:rsid w:val="004F3722"/>
    <w:rsid w:val="004F3CCE"/>
    <w:rsid w:val="004F5DD4"/>
    <w:rsid w:val="004F63FA"/>
    <w:rsid w:val="004F6586"/>
    <w:rsid w:val="004F6E53"/>
    <w:rsid w:val="004F7AA6"/>
    <w:rsid w:val="004F7D1F"/>
    <w:rsid w:val="005043B2"/>
    <w:rsid w:val="00504554"/>
    <w:rsid w:val="005061DD"/>
    <w:rsid w:val="00506C33"/>
    <w:rsid w:val="00507CAB"/>
    <w:rsid w:val="005142AB"/>
    <w:rsid w:val="0051508F"/>
    <w:rsid w:val="00515090"/>
    <w:rsid w:val="00521777"/>
    <w:rsid w:val="00523A90"/>
    <w:rsid w:val="00525776"/>
    <w:rsid w:val="00525FD0"/>
    <w:rsid w:val="005264FA"/>
    <w:rsid w:val="00527580"/>
    <w:rsid w:val="00527A0E"/>
    <w:rsid w:val="005312E0"/>
    <w:rsid w:val="00531887"/>
    <w:rsid w:val="005323AA"/>
    <w:rsid w:val="00532C11"/>
    <w:rsid w:val="00541A0B"/>
    <w:rsid w:val="0054239B"/>
    <w:rsid w:val="005432FC"/>
    <w:rsid w:val="005437AA"/>
    <w:rsid w:val="00543EDB"/>
    <w:rsid w:val="005442A7"/>
    <w:rsid w:val="00545364"/>
    <w:rsid w:val="00545871"/>
    <w:rsid w:val="005511E3"/>
    <w:rsid w:val="00551A74"/>
    <w:rsid w:val="0055272F"/>
    <w:rsid w:val="005558BD"/>
    <w:rsid w:val="00560306"/>
    <w:rsid w:val="005605CB"/>
    <w:rsid w:val="00563456"/>
    <w:rsid w:val="0056350A"/>
    <w:rsid w:val="00563E02"/>
    <w:rsid w:val="00564081"/>
    <w:rsid w:val="00565849"/>
    <w:rsid w:val="00567FE2"/>
    <w:rsid w:val="00570B8A"/>
    <w:rsid w:val="00570DDC"/>
    <w:rsid w:val="005730C9"/>
    <w:rsid w:val="00573171"/>
    <w:rsid w:val="00575577"/>
    <w:rsid w:val="00577191"/>
    <w:rsid w:val="00580B0A"/>
    <w:rsid w:val="00581005"/>
    <w:rsid w:val="00582E94"/>
    <w:rsid w:val="00584A43"/>
    <w:rsid w:val="005868F9"/>
    <w:rsid w:val="00586B48"/>
    <w:rsid w:val="00591EE5"/>
    <w:rsid w:val="005943FE"/>
    <w:rsid w:val="00597DEA"/>
    <w:rsid w:val="005A1723"/>
    <w:rsid w:val="005A20A4"/>
    <w:rsid w:val="005A5262"/>
    <w:rsid w:val="005A76BA"/>
    <w:rsid w:val="005A7F2C"/>
    <w:rsid w:val="005B0018"/>
    <w:rsid w:val="005B0F5A"/>
    <w:rsid w:val="005B5733"/>
    <w:rsid w:val="005B7282"/>
    <w:rsid w:val="005B7513"/>
    <w:rsid w:val="005B7DFC"/>
    <w:rsid w:val="005C0C75"/>
    <w:rsid w:val="005C131D"/>
    <w:rsid w:val="005C3EB0"/>
    <w:rsid w:val="005C62A7"/>
    <w:rsid w:val="005C7312"/>
    <w:rsid w:val="005C778E"/>
    <w:rsid w:val="005C7A24"/>
    <w:rsid w:val="005D6DDA"/>
    <w:rsid w:val="005D791C"/>
    <w:rsid w:val="005E051C"/>
    <w:rsid w:val="005E0A6E"/>
    <w:rsid w:val="005E227D"/>
    <w:rsid w:val="005E2BEC"/>
    <w:rsid w:val="005E4A8A"/>
    <w:rsid w:val="005E5A01"/>
    <w:rsid w:val="005E70E9"/>
    <w:rsid w:val="005F0DF8"/>
    <w:rsid w:val="005F25B6"/>
    <w:rsid w:val="005F2727"/>
    <w:rsid w:val="005F4463"/>
    <w:rsid w:val="005F5C93"/>
    <w:rsid w:val="005F7949"/>
    <w:rsid w:val="006000D3"/>
    <w:rsid w:val="00600213"/>
    <w:rsid w:val="006049F3"/>
    <w:rsid w:val="00605238"/>
    <w:rsid w:val="00605DE7"/>
    <w:rsid w:val="00611525"/>
    <w:rsid w:val="006167C8"/>
    <w:rsid w:val="006207DA"/>
    <w:rsid w:val="00621381"/>
    <w:rsid w:val="00621D7E"/>
    <w:rsid w:val="006229F9"/>
    <w:rsid w:val="006233A3"/>
    <w:rsid w:val="00623A6B"/>
    <w:rsid w:val="0062607F"/>
    <w:rsid w:val="006277C6"/>
    <w:rsid w:val="006320D5"/>
    <w:rsid w:val="0063264B"/>
    <w:rsid w:val="00636281"/>
    <w:rsid w:val="0063742F"/>
    <w:rsid w:val="00640C29"/>
    <w:rsid w:val="006418EB"/>
    <w:rsid w:val="00646298"/>
    <w:rsid w:val="00646616"/>
    <w:rsid w:val="00647F03"/>
    <w:rsid w:val="006538A6"/>
    <w:rsid w:val="006542C8"/>
    <w:rsid w:val="00656917"/>
    <w:rsid w:val="0066026A"/>
    <w:rsid w:val="00662755"/>
    <w:rsid w:val="00662765"/>
    <w:rsid w:val="006672A7"/>
    <w:rsid w:val="0066772A"/>
    <w:rsid w:val="00670C1E"/>
    <w:rsid w:val="00671F45"/>
    <w:rsid w:val="00671F8B"/>
    <w:rsid w:val="00673494"/>
    <w:rsid w:val="0067445D"/>
    <w:rsid w:val="00681CCA"/>
    <w:rsid w:val="00681E7D"/>
    <w:rsid w:val="006831D3"/>
    <w:rsid w:val="00684AF1"/>
    <w:rsid w:val="00686CB9"/>
    <w:rsid w:val="006900D0"/>
    <w:rsid w:val="006907BE"/>
    <w:rsid w:val="00691120"/>
    <w:rsid w:val="00691906"/>
    <w:rsid w:val="00694805"/>
    <w:rsid w:val="00695389"/>
    <w:rsid w:val="00695D1D"/>
    <w:rsid w:val="006A613B"/>
    <w:rsid w:val="006A61D8"/>
    <w:rsid w:val="006A6B58"/>
    <w:rsid w:val="006B0329"/>
    <w:rsid w:val="006B44F5"/>
    <w:rsid w:val="006B53AE"/>
    <w:rsid w:val="006B6E90"/>
    <w:rsid w:val="006C0062"/>
    <w:rsid w:val="006C0810"/>
    <w:rsid w:val="006C0A18"/>
    <w:rsid w:val="006C1F20"/>
    <w:rsid w:val="006C5E75"/>
    <w:rsid w:val="006C646E"/>
    <w:rsid w:val="006C6641"/>
    <w:rsid w:val="006D03A3"/>
    <w:rsid w:val="006D4878"/>
    <w:rsid w:val="006D6632"/>
    <w:rsid w:val="006E00C3"/>
    <w:rsid w:val="006E08D7"/>
    <w:rsid w:val="006E26CE"/>
    <w:rsid w:val="006E2902"/>
    <w:rsid w:val="006E46A9"/>
    <w:rsid w:val="006E796F"/>
    <w:rsid w:val="006F0214"/>
    <w:rsid w:val="006F04C1"/>
    <w:rsid w:val="006F0D63"/>
    <w:rsid w:val="006F2072"/>
    <w:rsid w:val="006F3CD9"/>
    <w:rsid w:val="006F607C"/>
    <w:rsid w:val="006F661F"/>
    <w:rsid w:val="006F6E67"/>
    <w:rsid w:val="006F7666"/>
    <w:rsid w:val="006F7B76"/>
    <w:rsid w:val="006F7D9F"/>
    <w:rsid w:val="0070174C"/>
    <w:rsid w:val="00701AFE"/>
    <w:rsid w:val="0070324A"/>
    <w:rsid w:val="00704206"/>
    <w:rsid w:val="00705139"/>
    <w:rsid w:val="00707FEB"/>
    <w:rsid w:val="00712F5B"/>
    <w:rsid w:val="00713594"/>
    <w:rsid w:val="007156F0"/>
    <w:rsid w:val="007164F7"/>
    <w:rsid w:val="0072168E"/>
    <w:rsid w:val="00722065"/>
    <w:rsid w:val="00730DCB"/>
    <w:rsid w:val="00734C17"/>
    <w:rsid w:val="00735BE7"/>
    <w:rsid w:val="00736205"/>
    <w:rsid w:val="00740926"/>
    <w:rsid w:val="00740B68"/>
    <w:rsid w:val="00740DFE"/>
    <w:rsid w:val="007431B1"/>
    <w:rsid w:val="00744572"/>
    <w:rsid w:val="00744B7D"/>
    <w:rsid w:val="007451C0"/>
    <w:rsid w:val="00745FD4"/>
    <w:rsid w:val="00746F76"/>
    <w:rsid w:val="00750EE8"/>
    <w:rsid w:val="00750FEA"/>
    <w:rsid w:val="007515EA"/>
    <w:rsid w:val="007526BA"/>
    <w:rsid w:val="0075321A"/>
    <w:rsid w:val="00754102"/>
    <w:rsid w:val="0075520A"/>
    <w:rsid w:val="00756751"/>
    <w:rsid w:val="007604E4"/>
    <w:rsid w:val="00762D75"/>
    <w:rsid w:val="00763DB8"/>
    <w:rsid w:val="007641CE"/>
    <w:rsid w:val="0076507D"/>
    <w:rsid w:val="00766044"/>
    <w:rsid w:val="00766D33"/>
    <w:rsid w:val="00767F1C"/>
    <w:rsid w:val="007706FB"/>
    <w:rsid w:val="00771107"/>
    <w:rsid w:val="00774C2D"/>
    <w:rsid w:val="00774E0F"/>
    <w:rsid w:val="00777A39"/>
    <w:rsid w:val="007818C5"/>
    <w:rsid w:val="0078778A"/>
    <w:rsid w:val="00790F0C"/>
    <w:rsid w:val="007925FC"/>
    <w:rsid w:val="0079607C"/>
    <w:rsid w:val="00796416"/>
    <w:rsid w:val="007A0A43"/>
    <w:rsid w:val="007A0DDD"/>
    <w:rsid w:val="007A1AA0"/>
    <w:rsid w:val="007A510F"/>
    <w:rsid w:val="007A5746"/>
    <w:rsid w:val="007A5C90"/>
    <w:rsid w:val="007A5D75"/>
    <w:rsid w:val="007A6A6B"/>
    <w:rsid w:val="007B2315"/>
    <w:rsid w:val="007B46E2"/>
    <w:rsid w:val="007B4E14"/>
    <w:rsid w:val="007C2E19"/>
    <w:rsid w:val="007C3A32"/>
    <w:rsid w:val="007C3CC6"/>
    <w:rsid w:val="007C41E4"/>
    <w:rsid w:val="007C5275"/>
    <w:rsid w:val="007C5F26"/>
    <w:rsid w:val="007D0E04"/>
    <w:rsid w:val="007D19C5"/>
    <w:rsid w:val="007D2B96"/>
    <w:rsid w:val="007D2FE1"/>
    <w:rsid w:val="007D4708"/>
    <w:rsid w:val="007D4B8B"/>
    <w:rsid w:val="007D5F35"/>
    <w:rsid w:val="007D67E5"/>
    <w:rsid w:val="007D7FA0"/>
    <w:rsid w:val="007E045C"/>
    <w:rsid w:val="007E06E8"/>
    <w:rsid w:val="007E16AF"/>
    <w:rsid w:val="007E2A31"/>
    <w:rsid w:val="007E39EC"/>
    <w:rsid w:val="007E4716"/>
    <w:rsid w:val="007E54FF"/>
    <w:rsid w:val="007E6657"/>
    <w:rsid w:val="007E72C1"/>
    <w:rsid w:val="007E77D5"/>
    <w:rsid w:val="007F4862"/>
    <w:rsid w:val="007F7856"/>
    <w:rsid w:val="00800F0D"/>
    <w:rsid w:val="00801FB5"/>
    <w:rsid w:val="008026E7"/>
    <w:rsid w:val="008028B2"/>
    <w:rsid w:val="00803022"/>
    <w:rsid w:val="00806CFB"/>
    <w:rsid w:val="00806F13"/>
    <w:rsid w:val="00807D01"/>
    <w:rsid w:val="00810008"/>
    <w:rsid w:val="00810BF1"/>
    <w:rsid w:val="00811BA6"/>
    <w:rsid w:val="00811F15"/>
    <w:rsid w:val="00812A58"/>
    <w:rsid w:val="008140D2"/>
    <w:rsid w:val="00814997"/>
    <w:rsid w:val="00814E0B"/>
    <w:rsid w:val="008161FE"/>
    <w:rsid w:val="00816937"/>
    <w:rsid w:val="00817B6A"/>
    <w:rsid w:val="0082040B"/>
    <w:rsid w:val="00820991"/>
    <w:rsid w:val="00820B10"/>
    <w:rsid w:val="00825449"/>
    <w:rsid w:val="00825986"/>
    <w:rsid w:val="00831482"/>
    <w:rsid w:val="008318C3"/>
    <w:rsid w:val="008326CE"/>
    <w:rsid w:val="008357AD"/>
    <w:rsid w:val="0084182E"/>
    <w:rsid w:val="00843DEF"/>
    <w:rsid w:val="00845A60"/>
    <w:rsid w:val="008511B9"/>
    <w:rsid w:val="0085160A"/>
    <w:rsid w:val="00852D18"/>
    <w:rsid w:val="0085447B"/>
    <w:rsid w:val="008565CB"/>
    <w:rsid w:val="00856D20"/>
    <w:rsid w:val="00862931"/>
    <w:rsid w:val="00864FBF"/>
    <w:rsid w:val="00867498"/>
    <w:rsid w:val="00867CCF"/>
    <w:rsid w:val="00872B77"/>
    <w:rsid w:val="0087421E"/>
    <w:rsid w:val="00874A3E"/>
    <w:rsid w:val="008752DE"/>
    <w:rsid w:val="00876F8A"/>
    <w:rsid w:val="00877630"/>
    <w:rsid w:val="00880A10"/>
    <w:rsid w:val="00880FEF"/>
    <w:rsid w:val="008818F0"/>
    <w:rsid w:val="008831AF"/>
    <w:rsid w:val="00883C85"/>
    <w:rsid w:val="00884257"/>
    <w:rsid w:val="008849DB"/>
    <w:rsid w:val="008856ED"/>
    <w:rsid w:val="00887C2C"/>
    <w:rsid w:val="008907A6"/>
    <w:rsid w:val="0089305F"/>
    <w:rsid w:val="00893773"/>
    <w:rsid w:val="00895109"/>
    <w:rsid w:val="00895C40"/>
    <w:rsid w:val="00896E98"/>
    <w:rsid w:val="00897D0C"/>
    <w:rsid w:val="008A06DC"/>
    <w:rsid w:val="008A071D"/>
    <w:rsid w:val="008A321D"/>
    <w:rsid w:val="008A34E7"/>
    <w:rsid w:val="008A4A67"/>
    <w:rsid w:val="008A5AC5"/>
    <w:rsid w:val="008A62A8"/>
    <w:rsid w:val="008A7CB8"/>
    <w:rsid w:val="008B202D"/>
    <w:rsid w:val="008B3ADD"/>
    <w:rsid w:val="008B64AC"/>
    <w:rsid w:val="008C0A13"/>
    <w:rsid w:val="008C1418"/>
    <w:rsid w:val="008C1D91"/>
    <w:rsid w:val="008C2691"/>
    <w:rsid w:val="008C2D3D"/>
    <w:rsid w:val="008C36B0"/>
    <w:rsid w:val="008C4976"/>
    <w:rsid w:val="008C4A31"/>
    <w:rsid w:val="008C7FCD"/>
    <w:rsid w:val="008D0192"/>
    <w:rsid w:val="008D3A9E"/>
    <w:rsid w:val="008D6E25"/>
    <w:rsid w:val="008E0428"/>
    <w:rsid w:val="008E1122"/>
    <w:rsid w:val="008E1EEC"/>
    <w:rsid w:val="008F0B38"/>
    <w:rsid w:val="008F3B3E"/>
    <w:rsid w:val="008F41D8"/>
    <w:rsid w:val="008F4352"/>
    <w:rsid w:val="008F5061"/>
    <w:rsid w:val="008F5963"/>
    <w:rsid w:val="0090024D"/>
    <w:rsid w:val="0090119D"/>
    <w:rsid w:val="009056AB"/>
    <w:rsid w:val="00905D26"/>
    <w:rsid w:val="009076BC"/>
    <w:rsid w:val="00911B75"/>
    <w:rsid w:val="0091379E"/>
    <w:rsid w:val="00913AC0"/>
    <w:rsid w:val="00913FF3"/>
    <w:rsid w:val="00917221"/>
    <w:rsid w:val="009226BA"/>
    <w:rsid w:val="00922C81"/>
    <w:rsid w:val="009254E4"/>
    <w:rsid w:val="00926B50"/>
    <w:rsid w:val="00926C11"/>
    <w:rsid w:val="00927AEA"/>
    <w:rsid w:val="0093144D"/>
    <w:rsid w:val="0093167C"/>
    <w:rsid w:val="00931AB7"/>
    <w:rsid w:val="009331EA"/>
    <w:rsid w:val="00935D43"/>
    <w:rsid w:val="00935DDF"/>
    <w:rsid w:val="00936F69"/>
    <w:rsid w:val="00937849"/>
    <w:rsid w:val="009431EA"/>
    <w:rsid w:val="00943E5E"/>
    <w:rsid w:val="00944A0E"/>
    <w:rsid w:val="00950CB3"/>
    <w:rsid w:val="00950E8F"/>
    <w:rsid w:val="00951045"/>
    <w:rsid w:val="00951206"/>
    <w:rsid w:val="00953E80"/>
    <w:rsid w:val="0095503D"/>
    <w:rsid w:val="00955501"/>
    <w:rsid w:val="00955774"/>
    <w:rsid w:val="00957867"/>
    <w:rsid w:val="00960508"/>
    <w:rsid w:val="009610D3"/>
    <w:rsid w:val="009668F2"/>
    <w:rsid w:val="009676CB"/>
    <w:rsid w:val="00971A4C"/>
    <w:rsid w:val="00974C0B"/>
    <w:rsid w:val="00975000"/>
    <w:rsid w:val="00975DF9"/>
    <w:rsid w:val="00981468"/>
    <w:rsid w:val="00981625"/>
    <w:rsid w:val="00981D8D"/>
    <w:rsid w:val="0098341C"/>
    <w:rsid w:val="0098430E"/>
    <w:rsid w:val="00984E70"/>
    <w:rsid w:val="00984F89"/>
    <w:rsid w:val="0098526B"/>
    <w:rsid w:val="00985B04"/>
    <w:rsid w:val="00986AC0"/>
    <w:rsid w:val="00987C39"/>
    <w:rsid w:val="009918F4"/>
    <w:rsid w:val="00991ECF"/>
    <w:rsid w:val="00991F73"/>
    <w:rsid w:val="0099219D"/>
    <w:rsid w:val="009945B5"/>
    <w:rsid w:val="00994911"/>
    <w:rsid w:val="0099520E"/>
    <w:rsid w:val="00997745"/>
    <w:rsid w:val="009A0A93"/>
    <w:rsid w:val="009A3E2B"/>
    <w:rsid w:val="009A4720"/>
    <w:rsid w:val="009A4C89"/>
    <w:rsid w:val="009A5351"/>
    <w:rsid w:val="009A54F2"/>
    <w:rsid w:val="009A6109"/>
    <w:rsid w:val="009A7D95"/>
    <w:rsid w:val="009B08BE"/>
    <w:rsid w:val="009B0C74"/>
    <w:rsid w:val="009B481E"/>
    <w:rsid w:val="009B5E63"/>
    <w:rsid w:val="009B5FBC"/>
    <w:rsid w:val="009C06F8"/>
    <w:rsid w:val="009C4DE6"/>
    <w:rsid w:val="009C56E3"/>
    <w:rsid w:val="009D181A"/>
    <w:rsid w:val="009D265D"/>
    <w:rsid w:val="009D278F"/>
    <w:rsid w:val="009E14DA"/>
    <w:rsid w:val="009E327E"/>
    <w:rsid w:val="009E4AE8"/>
    <w:rsid w:val="009E78F4"/>
    <w:rsid w:val="009F0092"/>
    <w:rsid w:val="009F1D63"/>
    <w:rsid w:val="009F2462"/>
    <w:rsid w:val="009F283F"/>
    <w:rsid w:val="009F3CC4"/>
    <w:rsid w:val="009F4AB7"/>
    <w:rsid w:val="009F4E2E"/>
    <w:rsid w:val="00A002AE"/>
    <w:rsid w:val="00A0075B"/>
    <w:rsid w:val="00A00A6B"/>
    <w:rsid w:val="00A0126C"/>
    <w:rsid w:val="00A0164F"/>
    <w:rsid w:val="00A01894"/>
    <w:rsid w:val="00A0303D"/>
    <w:rsid w:val="00A04D95"/>
    <w:rsid w:val="00A06D6C"/>
    <w:rsid w:val="00A077FD"/>
    <w:rsid w:val="00A10E9B"/>
    <w:rsid w:val="00A11878"/>
    <w:rsid w:val="00A1563B"/>
    <w:rsid w:val="00A23346"/>
    <w:rsid w:val="00A23627"/>
    <w:rsid w:val="00A249EB"/>
    <w:rsid w:val="00A32364"/>
    <w:rsid w:val="00A3331E"/>
    <w:rsid w:val="00A3454E"/>
    <w:rsid w:val="00A35BB3"/>
    <w:rsid w:val="00A35F73"/>
    <w:rsid w:val="00A3738B"/>
    <w:rsid w:val="00A37D90"/>
    <w:rsid w:val="00A404AB"/>
    <w:rsid w:val="00A43999"/>
    <w:rsid w:val="00A43EEE"/>
    <w:rsid w:val="00A43FC4"/>
    <w:rsid w:val="00A45C07"/>
    <w:rsid w:val="00A4656F"/>
    <w:rsid w:val="00A468D4"/>
    <w:rsid w:val="00A47634"/>
    <w:rsid w:val="00A479CF"/>
    <w:rsid w:val="00A47E7E"/>
    <w:rsid w:val="00A50A18"/>
    <w:rsid w:val="00A533C9"/>
    <w:rsid w:val="00A53710"/>
    <w:rsid w:val="00A5477A"/>
    <w:rsid w:val="00A54D40"/>
    <w:rsid w:val="00A55376"/>
    <w:rsid w:val="00A554DF"/>
    <w:rsid w:val="00A557A2"/>
    <w:rsid w:val="00A57312"/>
    <w:rsid w:val="00A57D11"/>
    <w:rsid w:val="00A60157"/>
    <w:rsid w:val="00A63226"/>
    <w:rsid w:val="00A64C75"/>
    <w:rsid w:val="00A65539"/>
    <w:rsid w:val="00A65707"/>
    <w:rsid w:val="00A67D06"/>
    <w:rsid w:val="00A71C1B"/>
    <w:rsid w:val="00A73A65"/>
    <w:rsid w:val="00A753B2"/>
    <w:rsid w:val="00A77E14"/>
    <w:rsid w:val="00A77F69"/>
    <w:rsid w:val="00A8399E"/>
    <w:rsid w:val="00A85F6A"/>
    <w:rsid w:val="00A8657A"/>
    <w:rsid w:val="00A86FA3"/>
    <w:rsid w:val="00A87688"/>
    <w:rsid w:val="00A9018E"/>
    <w:rsid w:val="00A916C3"/>
    <w:rsid w:val="00A93AEB"/>
    <w:rsid w:val="00A94E62"/>
    <w:rsid w:val="00A96CC2"/>
    <w:rsid w:val="00AA2BC5"/>
    <w:rsid w:val="00AA2D86"/>
    <w:rsid w:val="00AA3460"/>
    <w:rsid w:val="00AA4A3D"/>
    <w:rsid w:val="00AA75B2"/>
    <w:rsid w:val="00AA7FFA"/>
    <w:rsid w:val="00AB21D3"/>
    <w:rsid w:val="00AB309D"/>
    <w:rsid w:val="00AB630E"/>
    <w:rsid w:val="00AC18B1"/>
    <w:rsid w:val="00AC1BFA"/>
    <w:rsid w:val="00AC2395"/>
    <w:rsid w:val="00AC25D0"/>
    <w:rsid w:val="00AC5495"/>
    <w:rsid w:val="00AC5E82"/>
    <w:rsid w:val="00AC5F8D"/>
    <w:rsid w:val="00AC730C"/>
    <w:rsid w:val="00AD03CE"/>
    <w:rsid w:val="00AD09BB"/>
    <w:rsid w:val="00AD0ED4"/>
    <w:rsid w:val="00AD1C48"/>
    <w:rsid w:val="00AD3974"/>
    <w:rsid w:val="00AD439D"/>
    <w:rsid w:val="00AD6178"/>
    <w:rsid w:val="00AD6FE7"/>
    <w:rsid w:val="00AE387A"/>
    <w:rsid w:val="00AE5116"/>
    <w:rsid w:val="00AE6331"/>
    <w:rsid w:val="00AF2577"/>
    <w:rsid w:val="00AF3606"/>
    <w:rsid w:val="00AF3914"/>
    <w:rsid w:val="00AF3EFB"/>
    <w:rsid w:val="00AF4327"/>
    <w:rsid w:val="00B00E1A"/>
    <w:rsid w:val="00B01A2E"/>
    <w:rsid w:val="00B02503"/>
    <w:rsid w:val="00B028FC"/>
    <w:rsid w:val="00B02B82"/>
    <w:rsid w:val="00B02DF3"/>
    <w:rsid w:val="00B044EE"/>
    <w:rsid w:val="00B060F7"/>
    <w:rsid w:val="00B0723A"/>
    <w:rsid w:val="00B07835"/>
    <w:rsid w:val="00B07CD2"/>
    <w:rsid w:val="00B11489"/>
    <w:rsid w:val="00B14335"/>
    <w:rsid w:val="00B2019C"/>
    <w:rsid w:val="00B2084A"/>
    <w:rsid w:val="00B21457"/>
    <w:rsid w:val="00B25259"/>
    <w:rsid w:val="00B2696D"/>
    <w:rsid w:val="00B315B9"/>
    <w:rsid w:val="00B31809"/>
    <w:rsid w:val="00B36593"/>
    <w:rsid w:val="00B36E14"/>
    <w:rsid w:val="00B40E25"/>
    <w:rsid w:val="00B41348"/>
    <w:rsid w:val="00B417F5"/>
    <w:rsid w:val="00B41B95"/>
    <w:rsid w:val="00B42C73"/>
    <w:rsid w:val="00B45170"/>
    <w:rsid w:val="00B45F20"/>
    <w:rsid w:val="00B606C1"/>
    <w:rsid w:val="00B60FB2"/>
    <w:rsid w:val="00B61363"/>
    <w:rsid w:val="00B61FCA"/>
    <w:rsid w:val="00B65D66"/>
    <w:rsid w:val="00B66B55"/>
    <w:rsid w:val="00B67E8A"/>
    <w:rsid w:val="00B7129B"/>
    <w:rsid w:val="00B71E8B"/>
    <w:rsid w:val="00B71FCC"/>
    <w:rsid w:val="00B74152"/>
    <w:rsid w:val="00B76784"/>
    <w:rsid w:val="00B7702F"/>
    <w:rsid w:val="00B77BB0"/>
    <w:rsid w:val="00B80C1C"/>
    <w:rsid w:val="00B81B61"/>
    <w:rsid w:val="00B82A88"/>
    <w:rsid w:val="00B83F2A"/>
    <w:rsid w:val="00B84981"/>
    <w:rsid w:val="00B84D17"/>
    <w:rsid w:val="00B86271"/>
    <w:rsid w:val="00B86682"/>
    <w:rsid w:val="00B86D6D"/>
    <w:rsid w:val="00B870B7"/>
    <w:rsid w:val="00B879ED"/>
    <w:rsid w:val="00B93AD7"/>
    <w:rsid w:val="00B965F6"/>
    <w:rsid w:val="00B96B16"/>
    <w:rsid w:val="00B96B78"/>
    <w:rsid w:val="00B96B8D"/>
    <w:rsid w:val="00BA30E7"/>
    <w:rsid w:val="00BA4773"/>
    <w:rsid w:val="00BA4EBC"/>
    <w:rsid w:val="00BA56AD"/>
    <w:rsid w:val="00BA6702"/>
    <w:rsid w:val="00BA676F"/>
    <w:rsid w:val="00BA67BA"/>
    <w:rsid w:val="00BA7D0D"/>
    <w:rsid w:val="00BB0E7C"/>
    <w:rsid w:val="00BB1050"/>
    <w:rsid w:val="00BB193A"/>
    <w:rsid w:val="00BB1E51"/>
    <w:rsid w:val="00BB3299"/>
    <w:rsid w:val="00BB376B"/>
    <w:rsid w:val="00BB4AE6"/>
    <w:rsid w:val="00BB5690"/>
    <w:rsid w:val="00BB6F95"/>
    <w:rsid w:val="00BB7E1D"/>
    <w:rsid w:val="00BC0DEC"/>
    <w:rsid w:val="00BC19DD"/>
    <w:rsid w:val="00BC26B9"/>
    <w:rsid w:val="00BC28E5"/>
    <w:rsid w:val="00BC3A6A"/>
    <w:rsid w:val="00BC4DF1"/>
    <w:rsid w:val="00BC63A3"/>
    <w:rsid w:val="00BC6734"/>
    <w:rsid w:val="00BD1852"/>
    <w:rsid w:val="00BD2A57"/>
    <w:rsid w:val="00BD352E"/>
    <w:rsid w:val="00BD373F"/>
    <w:rsid w:val="00BD625D"/>
    <w:rsid w:val="00BE046F"/>
    <w:rsid w:val="00BE1009"/>
    <w:rsid w:val="00BE23EE"/>
    <w:rsid w:val="00BE3FF2"/>
    <w:rsid w:val="00BE579A"/>
    <w:rsid w:val="00BE7F2A"/>
    <w:rsid w:val="00BF2825"/>
    <w:rsid w:val="00BF3989"/>
    <w:rsid w:val="00BF3AE2"/>
    <w:rsid w:val="00BF49A0"/>
    <w:rsid w:val="00BF628B"/>
    <w:rsid w:val="00BF6702"/>
    <w:rsid w:val="00BF762F"/>
    <w:rsid w:val="00BF7F29"/>
    <w:rsid w:val="00C012CC"/>
    <w:rsid w:val="00C016AE"/>
    <w:rsid w:val="00C02814"/>
    <w:rsid w:val="00C03EEA"/>
    <w:rsid w:val="00C06F31"/>
    <w:rsid w:val="00C11BB6"/>
    <w:rsid w:val="00C13BD4"/>
    <w:rsid w:val="00C16609"/>
    <w:rsid w:val="00C174C0"/>
    <w:rsid w:val="00C17925"/>
    <w:rsid w:val="00C20A06"/>
    <w:rsid w:val="00C214B9"/>
    <w:rsid w:val="00C21584"/>
    <w:rsid w:val="00C23BF0"/>
    <w:rsid w:val="00C26E83"/>
    <w:rsid w:val="00C32A02"/>
    <w:rsid w:val="00C368D3"/>
    <w:rsid w:val="00C4445D"/>
    <w:rsid w:val="00C47DA5"/>
    <w:rsid w:val="00C5081B"/>
    <w:rsid w:val="00C51610"/>
    <w:rsid w:val="00C557AE"/>
    <w:rsid w:val="00C56198"/>
    <w:rsid w:val="00C56279"/>
    <w:rsid w:val="00C56999"/>
    <w:rsid w:val="00C57155"/>
    <w:rsid w:val="00C57932"/>
    <w:rsid w:val="00C57DEA"/>
    <w:rsid w:val="00C6217B"/>
    <w:rsid w:val="00C6384E"/>
    <w:rsid w:val="00C665DE"/>
    <w:rsid w:val="00C6706F"/>
    <w:rsid w:val="00C67507"/>
    <w:rsid w:val="00C67965"/>
    <w:rsid w:val="00C70DBF"/>
    <w:rsid w:val="00C71906"/>
    <w:rsid w:val="00C7527B"/>
    <w:rsid w:val="00C803E0"/>
    <w:rsid w:val="00C81813"/>
    <w:rsid w:val="00C82635"/>
    <w:rsid w:val="00C8375E"/>
    <w:rsid w:val="00C840AA"/>
    <w:rsid w:val="00C87647"/>
    <w:rsid w:val="00C8779A"/>
    <w:rsid w:val="00C87897"/>
    <w:rsid w:val="00C87F4A"/>
    <w:rsid w:val="00C92018"/>
    <w:rsid w:val="00C9301B"/>
    <w:rsid w:val="00C938C4"/>
    <w:rsid w:val="00C93A6C"/>
    <w:rsid w:val="00C94EC6"/>
    <w:rsid w:val="00C95B6D"/>
    <w:rsid w:val="00C95CDC"/>
    <w:rsid w:val="00C962E0"/>
    <w:rsid w:val="00C96B79"/>
    <w:rsid w:val="00C97C21"/>
    <w:rsid w:val="00CA4CC4"/>
    <w:rsid w:val="00CA715C"/>
    <w:rsid w:val="00CB0152"/>
    <w:rsid w:val="00CB2724"/>
    <w:rsid w:val="00CB6011"/>
    <w:rsid w:val="00CB601C"/>
    <w:rsid w:val="00CB7D3A"/>
    <w:rsid w:val="00CB7EB7"/>
    <w:rsid w:val="00CC3D8A"/>
    <w:rsid w:val="00CC3F05"/>
    <w:rsid w:val="00CC46F4"/>
    <w:rsid w:val="00CC6AEF"/>
    <w:rsid w:val="00CC6FE2"/>
    <w:rsid w:val="00CD0CB8"/>
    <w:rsid w:val="00CD13BC"/>
    <w:rsid w:val="00CD45AD"/>
    <w:rsid w:val="00CD53D6"/>
    <w:rsid w:val="00CD6290"/>
    <w:rsid w:val="00CE16CF"/>
    <w:rsid w:val="00CE3189"/>
    <w:rsid w:val="00CE46A7"/>
    <w:rsid w:val="00CE5386"/>
    <w:rsid w:val="00CE5C45"/>
    <w:rsid w:val="00CE7310"/>
    <w:rsid w:val="00CF28A3"/>
    <w:rsid w:val="00CF4012"/>
    <w:rsid w:val="00CF47FF"/>
    <w:rsid w:val="00CF57B8"/>
    <w:rsid w:val="00CF76D1"/>
    <w:rsid w:val="00CF7844"/>
    <w:rsid w:val="00CF78FA"/>
    <w:rsid w:val="00D0213E"/>
    <w:rsid w:val="00D0529E"/>
    <w:rsid w:val="00D05491"/>
    <w:rsid w:val="00D062D6"/>
    <w:rsid w:val="00D11EE9"/>
    <w:rsid w:val="00D131FC"/>
    <w:rsid w:val="00D13DA2"/>
    <w:rsid w:val="00D144EB"/>
    <w:rsid w:val="00D1540B"/>
    <w:rsid w:val="00D16014"/>
    <w:rsid w:val="00D169B1"/>
    <w:rsid w:val="00D20653"/>
    <w:rsid w:val="00D24A90"/>
    <w:rsid w:val="00D251FB"/>
    <w:rsid w:val="00D318CC"/>
    <w:rsid w:val="00D33982"/>
    <w:rsid w:val="00D343C7"/>
    <w:rsid w:val="00D3577C"/>
    <w:rsid w:val="00D358F5"/>
    <w:rsid w:val="00D366D0"/>
    <w:rsid w:val="00D36A1C"/>
    <w:rsid w:val="00D3766D"/>
    <w:rsid w:val="00D379B4"/>
    <w:rsid w:val="00D42AD7"/>
    <w:rsid w:val="00D42C35"/>
    <w:rsid w:val="00D5027A"/>
    <w:rsid w:val="00D53588"/>
    <w:rsid w:val="00D56F06"/>
    <w:rsid w:val="00D576A5"/>
    <w:rsid w:val="00D615CE"/>
    <w:rsid w:val="00D625E1"/>
    <w:rsid w:val="00D7170C"/>
    <w:rsid w:val="00D72463"/>
    <w:rsid w:val="00D72AE3"/>
    <w:rsid w:val="00D72D5E"/>
    <w:rsid w:val="00D74549"/>
    <w:rsid w:val="00D77036"/>
    <w:rsid w:val="00D773D5"/>
    <w:rsid w:val="00D85345"/>
    <w:rsid w:val="00D86940"/>
    <w:rsid w:val="00D8713B"/>
    <w:rsid w:val="00D9269A"/>
    <w:rsid w:val="00D92E89"/>
    <w:rsid w:val="00D9390C"/>
    <w:rsid w:val="00D94286"/>
    <w:rsid w:val="00D94AAF"/>
    <w:rsid w:val="00D953B6"/>
    <w:rsid w:val="00D96219"/>
    <w:rsid w:val="00D974CA"/>
    <w:rsid w:val="00DA093D"/>
    <w:rsid w:val="00DA23D4"/>
    <w:rsid w:val="00DA4C94"/>
    <w:rsid w:val="00DA5F8D"/>
    <w:rsid w:val="00DB08AE"/>
    <w:rsid w:val="00DB0994"/>
    <w:rsid w:val="00DB0B70"/>
    <w:rsid w:val="00DB0BFB"/>
    <w:rsid w:val="00DB0F47"/>
    <w:rsid w:val="00DB29F5"/>
    <w:rsid w:val="00DB5D51"/>
    <w:rsid w:val="00DB6582"/>
    <w:rsid w:val="00DB7113"/>
    <w:rsid w:val="00DC09AF"/>
    <w:rsid w:val="00DC57CE"/>
    <w:rsid w:val="00DC727A"/>
    <w:rsid w:val="00DC7E0F"/>
    <w:rsid w:val="00DD4550"/>
    <w:rsid w:val="00DD45A0"/>
    <w:rsid w:val="00DD625A"/>
    <w:rsid w:val="00DD7B53"/>
    <w:rsid w:val="00DE0E97"/>
    <w:rsid w:val="00DE2757"/>
    <w:rsid w:val="00DE39D8"/>
    <w:rsid w:val="00DE4CEE"/>
    <w:rsid w:val="00DE7779"/>
    <w:rsid w:val="00DF0379"/>
    <w:rsid w:val="00DF20E4"/>
    <w:rsid w:val="00DF2960"/>
    <w:rsid w:val="00DF4ADE"/>
    <w:rsid w:val="00E006AA"/>
    <w:rsid w:val="00E0182F"/>
    <w:rsid w:val="00E02778"/>
    <w:rsid w:val="00E036F6"/>
    <w:rsid w:val="00E0510E"/>
    <w:rsid w:val="00E052DB"/>
    <w:rsid w:val="00E05E09"/>
    <w:rsid w:val="00E10317"/>
    <w:rsid w:val="00E12016"/>
    <w:rsid w:val="00E13378"/>
    <w:rsid w:val="00E13917"/>
    <w:rsid w:val="00E13EF0"/>
    <w:rsid w:val="00E14D12"/>
    <w:rsid w:val="00E16D64"/>
    <w:rsid w:val="00E214BF"/>
    <w:rsid w:val="00E21DA5"/>
    <w:rsid w:val="00E22222"/>
    <w:rsid w:val="00E2445C"/>
    <w:rsid w:val="00E24991"/>
    <w:rsid w:val="00E25BA5"/>
    <w:rsid w:val="00E2787A"/>
    <w:rsid w:val="00E30609"/>
    <w:rsid w:val="00E316CC"/>
    <w:rsid w:val="00E319B3"/>
    <w:rsid w:val="00E34391"/>
    <w:rsid w:val="00E34478"/>
    <w:rsid w:val="00E359F3"/>
    <w:rsid w:val="00E37B7F"/>
    <w:rsid w:val="00E406E6"/>
    <w:rsid w:val="00E40DBE"/>
    <w:rsid w:val="00E423C4"/>
    <w:rsid w:val="00E436C3"/>
    <w:rsid w:val="00E44FFC"/>
    <w:rsid w:val="00E46E09"/>
    <w:rsid w:val="00E50C56"/>
    <w:rsid w:val="00E52F0A"/>
    <w:rsid w:val="00E52F86"/>
    <w:rsid w:val="00E53039"/>
    <w:rsid w:val="00E53D6B"/>
    <w:rsid w:val="00E552D1"/>
    <w:rsid w:val="00E553A3"/>
    <w:rsid w:val="00E6187B"/>
    <w:rsid w:val="00E61E44"/>
    <w:rsid w:val="00E62223"/>
    <w:rsid w:val="00E6234C"/>
    <w:rsid w:val="00E6260B"/>
    <w:rsid w:val="00E6313D"/>
    <w:rsid w:val="00E66E15"/>
    <w:rsid w:val="00E7027D"/>
    <w:rsid w:val="00E70D5D"/>
    <w:rsid w:val="00E734E4"/>
    <w:rsid w:val="00E755D1"/>
    <w:rsid w:val="00E758AE"/>
    <w:rsid w:val="00E77018"/>
    <w:rsid w:val="00E77C85"/>
    <w:rsid w:val="00E81568"/>
    <w:rsid w:val="00E83A23"/>
    <w:rsid w:val="00E84D07"/>
    <w:rsid w:val="00E85B39"/>
    <w:rsid w:val="00E8726B"/>
    <w:rsid w:val="00E915C1"/>
    <w:rsid w:val="00E91E13"/>
    <w:rsid w:val="00E92A4A"/>
    <w:rsid w:val="00E95146"/>
    <w:rsid w:val="00E95AE5"/>
    <w:rsid w:val="00E96A52"/>
    <w:rsid w:val="00EA017F"/>
    <w:rsid w:val="00EA0A2B"/>
    <w:rsid w:val="00EA2E24"/>
    <w:rsid w:val="00EA3004"/>
    <w:rsid w:val="00EA336F"/>
    <w:rsid w:val="00EA34CC"/>
    <w:rsid w:val="00EA36B1"/>
    <w:rsid w:val="00EA3DDA"/>
    <w:rsid w:val="00EA45D4"/>
    <w:rsid w:val="00EA65C9"/>
    <w:rsid w:val="00EB0C9C"/>
    <w:rsid w:val="00EB0E41"/>
    <w:rsid w:val="00EB1868"/>
    <w:rsid w:val="00EB263C"/>
    <w:rsid w:val="00EB289B"/>
    <w:rsid w:val="00EB2B58"/>
    <w:rsid w:val="00EB3459"/>
    <w:rsid w:val="00EB3711"/>
    <w:rsid w:val="00EB3FA2"/>
    <w:rsid w:val="00EB6EC8"/>
    <w:rsid w:val="00EB700E"/>
    <w:rsid w:val="00EC028F"/>
    <w:rsid w:val="00EC0881"/>
    <w:rsid w:val="00EC0963"/>
    <w:rsid w:val="00EC407A"/>
    <w:rsid w:val="00EC7791"/>
    <w:rsid w:val="00EC7B2E"/>
    <w:rsid w:val="00ED0427"/>
    <w:rsid w:val="00ED11E1"/>
    <w:rsid w:val="00ED228D"/>
    <w:rsid w:val="00ED2D60"/>
    <w:rsid w:val="00ED4CDD"/>
    <w:rsid w:val="00ED677A"/>
    <w:rsid w:val="00EE1FAD"/>
    <w:rsid w:val="00EE401D"/>
    <w:rsid w:val="00EE426D"/>
    <w:rsid w:val="00EE45BD"/>
    <w:rsid w:val="00EE477B"/>
    <w:rsid w:val="00EE674E"/>
    <w:rsid w:val="00EE6E70"/>
    <w:rsid w:val="00EE70C2"/>
    <w:rsid w:val="00EE7688"/>
    <w:rsid w:val="00EE7D11"/>
    <w:rsid w:val="00EF03F9"/>
    <w:rsid w:val="00EF0802"/>
    <w:rsid w:val="00EF1B5C"/>
    <w:rsid w:val="00EF30CF"/>
    <w:rsid w:val="00EF3BA8"/>
    <w:rsid w:val="00EF3BEB"/>
    <w:rsid w:val="00EF46CF"/>
    <w:rsid w:val="00EF4EF8"/>
    <w:rsid w:val="00EF5E59"/>
    <w:rsid w:val="00EF750F"/>
    <w:rsid w:val="00F003C0"/>
    <w:rsid w:val="00F010A5"/>
    <w:rsid w:val="00F01644"/>
    <w:rsid w:val="00F02193"/>
    <w:rsid w:val="00F02B1C"/>
    <w:rsid w:val="00F033F7"/>
    <w:rsid w:val="00F03E84"/>
    <w:rsid w:val="00F046FC"/>
    <w:rsid w:val="00F11D79"/>
    <w:rsid w:val="00F12F20"/>
    <w:rsid w:val="00F22431"/>
    <w:rsid w:val="00F25374"/>
    <w:rsid w:val="00F26066"/>
    <w:rsid w:val="00F272A5"/>
    <w:rsid w:val="00F2775D"/>
    <w:rsid w:val="00F27A25"/>
    <w:rsid w:val="00F30B07"/>
    <w:rsid w:val="00F32C11"/>
    <w:rsid w:val="00F330DD"/>
    <w:rsid w:val="00F34A75"/>
    <w:rsid w:val="00F365C3"/>
    <w:rsid w:val="00F37507"/>
    <w:rsid w:val="00F37E39"/>
    <w:rsid w:val="00F400C5"/>
    <w:rsid w:val="00F408F4"/>
    <w:rsid w:val="00F40F40"/>
    <w:rsid w:val="00F45E4E"/>
    <w:rsid w:val="00F46AF8"/>
    <w:rsid w:val="00F46E5B"/>
    <w:rsid w:val="00F53F98"/>
    <w:rsid w:val="00F55E6D"/>
    <w:rsid w:val="00F56580"/>
    <w:rsid w:val="00F56B13"/>
    <w:rsid w:val="00F57492"/>
    <w:rsid w:val="00F6151E"/>
    <w:rsid w:val="00F70829"/>
    <w:rsid w:val="00F724A8"/>
    <w:rsid w:val="00F72534"/>
    <w:rsid w:val="00F72A36"/>
    <w:rsid w:val="00F7431A"/>
    <w:rsid w:val="00F74CD6"/>
    <w:rsid w:val="00F75BF0"/>
    <w:rsid w:val="00F83821"/>
    <w:rsid w:val="00F83B3C"/>
    <w:rsid w:val="00F861DE"/>
    <w:rsid w:val="00F86BA1"/>
    <w:rsid w:val="00F8747F"/>
    <w:rsid w:val="00F8780B"/>
    <w:rsid w:val="00F90BE3"/>
    <w:rsid w:val="00F9142A"/>
    <w:rsid w:val="00F919AA"/>
    <w:rsid w:val="00F920EB"/>
    <w:rsid w:val="00F93829"/>
    <w:rsid w:val="00F940B7"/>
    <w:rsid w:val="00F96290"/>
    <w:rsid w:val="00F96897"/>
    <w:rsid w:val="00FA0229"/>
    <w:rsid w:val="00FA7D28"/>
    <w:rsid w:val="00FB1DAD"/>
    <w:rsid w:val="00FB4B83"/>
    <w:rsid w:val="00FB5A95"/>
    <w:rsid w:val="00FB64BE"/>
    <w:rsid w:val="00FB6955"/>
    <w:rsid w:val="00FB6AC1"/>
    <w:rsid w:val="00FC0EF3"/>
    <w:rsid w:val="00FC1183"/>
    <w:rsid w:val="00FC11B6"/>
    <w:rsid w:val="00FC2488"/>
    <w:rsid w:val="00FC2CB4"/>
    <w:rsid w:val="00FC3012"/>
    <w:rsid w:val="00FC30C0"/>
    <w:rsid w:val="00FC3BB3"/>
    <w:rsid w:val="00FD1BE8"/>
    <w:rsid w:val="00FD1F44"/>
    <w:rsid w:val="00FD2E96"/>
    <w:rsid w:val="00FD32FC"/>
    <w:rsid w:val="00FD5275"/>
    <w:rsid w:val="00FD5FFE"/>
    <w:rsid w:val="00FD716A"/>
    <w:rsid w:val="00FE0031"/>
    <w:rsid w:val="00FE0862"/>
    <w:rsid w:val="00FE099C"/>
    <w:rsid w:val="00FE1787"/>
    <w:rsid w:val="00FE262B"/>
    <w:rsid w:val="00FE67D7"/>
    <w:rsid w:val="00FE7B9D"/>
    <w:rsid w:val="00FF1422"/>
    <w:rsid w:val="00FF17DD"/>
    <w:rsid w:val="00FF1991"/>
    <w:rsid w:val="00FF4409"/>
    <w:rsid w:val="00FF4A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3842C8A8"/>
  <w15:docId w15:val="{302B6CAD-D4D6-4444-A93F-1D5A0787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Eurobank Sans" w:eastAsia="Eurobank Sans" w:hAnsi="Eurobank Sans" w:cs="Eurobank Sans"/>
    </w:rPr>
  </w:style>
  <w:style w:type="paragraph" w:styleId="Heading1">
    <w:name w:val="heading 1"/>
    <w:basedOn w:val="Normal"/>
    <w:uiPriority w:val="1"/>
    <w:qFormat/>
    <w:pPr>
      <w:spacing w:before="100"/>
      <w:ind w:left="26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Document"/>
    <w:basedOn w:val="Normal"/>
    <w:link w:val="ListParagraphChar"/>
    <w:uiPriority w:val="1"/>
    <w:qFormat/>
    <w:pPr>
      <w:ind w:left="260" w:right="297"/>
      <w:jc w:val="both"/>
    </w:pPr>
  </w:style>
  <w:style w:type="paragraph" w:customStyle="1" w:styleId="TableParagraph">
    <w:name w:val="Table Paragraph"/>
    <w:basedOn w:val="Normal"/>
    <w:uiPriority w:val="1"/>
    <w:qFormat/>
    <w:pPr>
      <w:spacing w:before="122"/>
      <w:ind w:left="824" w:right="824"/>
      <w:jc w:val="center"/>
    </w:pPr>
  </w:style>
  <w:style w:type="paragraph" w:styleId="Header">
    <w:name w:val="header"/>
    <w:basedOn w:val="Normal"/>
    <w:link w:val="HeaderChar"/>
    <w:uiPriority w:val="99"/>
    <w:unhideWhenUsed/>
    <w:rsid w:val="004D78CF"/>
    <w:pPr>
      <w:tabs>
        <w:tab w:val="center" w:pos="4153"/>
        <w:tab w:val="right" w:pos="8306"/>
      </w:tabs>
    </w:pPr>
  </w:style>
  <w:style w:type="character" w:customStyle="1" w:styleId="HeaderChar">
    <w:name w:val="Header Char"/>
    <w:basedOn w:val="DefaultParagraphFont"/>
    <w:link w:val="Header"/>
    <w:uiPriority w:val="99"/>
    <w:rsid w:val="004D78CF"/>
    <w:rPr>
      <w:rFonts w:ascii="Eurobank Sans" w:eastAsia="Eurobank Sans" w:hAnsi="Eurobank Sans" w:cs="Eurobank Sans"/>
    </w:rPr>
  </w:style>
  <w:style w:type="paragraph" w:styleId="Footer">
    <w:name w:val="footer"/>
    <w:basedOn w:val="Normal"/>
    <w:link w:val="FooterChar"/>
    <w:uiPriority w:val="99"/>
    <w:unhideWhenUsed/>
    <w:rsid w:val="004D78CF"/>
    <w:pPr>
      <w:tabs>
        <w:tab w:val="center" w:pos="4153"/>
        <w:tab w:val="right" w:pos="8306"/>
      </w:tabs>
    </w:pPr>
  </w:style>
  <w:style w:type="character" w:customStyle="1" w:styleId="FooterChar">
    <w:name w:val="Footer Char"/>
    <w:basedOn w:val="DefaultParagraphFont"/>
    <w:link w:val="Footer"/>
    <w:uiPriority w:val="99"/>
    <w:rsid w:val="004D78CF"/>
    <w:rPr>
      <w:rFonts w:ascii="Eurobank Sans" w:eastAsia="Eurobank Sans" w:hAnsi="Eurobank Sans" w:cs="Eurobank Sans"/>
    </w:rPr>
  </w:style>
  <w:style w:type="paragraph" w:styleId="FootnoteText">
    <w:name w:val="footnote text"/>
    <w:basedOn w:val="Normal"/>
    <w:link w:val="FootnoteTextChar"/>
    <w:uiPriority w:val="99"/>
    <w:semiHidden/>
    <w:unhideWhenUsed/>
    <w:rsid w:val="00810BF1"/>
    <w:rPr>
      <w:sz w:val="20"/>
      <w:szCs w:val="20"/>
    </w:rPr>
  </w:style>
  <w:style w:type="character" w:customStyle="1" w:styleId="FootnoteTextChar">
    <w:name w:val="Footnote Text Char"/>
    <w:basedOn w:val="DefaultParagraphFont"/>
    <w:link w:val="FootnoteText"/>
    <w:uiPriority w:val="99"/>
    <w:semiHidden/>
    <w:rsid w:val="00810BF1"/>
    <w:rPr>
      <w:rFonts w:ascii="Eurobank Sans" w:eastAsia="Eurobank Sans" w:hAnsi="Eurobank Sans" w:cs="Eurobank Sans"/>
      <w:sz w:val="20"/>
      <w:szCs w:val="20"/>
    </w:rPr>
  </w:style>
  <w:style w:type="character" w:styleId="FootnoteReference">
    <w:name w:val="footnote reference"/>
    <w:basedOn w:val="DefaultParagraphFont"/>
    <w:semiHidden/>
    <w:unhideWhenUsed/>
    <w:rsid w:val="00810BF1"/>
    <w:rPr>
      <w:vertAlign w:val="superscript"/>
    </w:rPr>
  </w:style>
  <w:style w:type="paragraph" w:styleId="BalloonText">
    <w:name w:val="Balloon Text"/>
    <w:basedOn w:val="Normal"/>
    <w:link w:val="BalloonTextChar"/>
    <w:uiPriority w:val="99"/>
    <w:semiHidden/>
    <w:unhideWhenUsed/>
    <w:rsid w:val="001D2C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C7D"/>
    <w:rPr>
      <w:rFonts w:ascii="Segoe UI" w:eastAsia="Eurobank Sans" w:hAnsi="Segoe UI" w:cs="Segoe UI"/>
      <w:sz w:val="18"/>
      <w:szCs w:val="18"/>
    </w:rPr>
  </w:style>
  <w:style w:type="paragraph" w:styleId="EndnoteText">
    <w:name w:val="endnote text"/>
    <w:basedOn w:val="Normal"/>
    <w:link w:val="EndnoteTextChar"/>
    <w:uiPriority w:val="99"/>
    <w:semiHidden/>
    <w:unhideWhenUsed/>
    <w:rsid w:val="00F70829"/>
    <w:rPr>
      <w:sz w:val="20"/>
      <w:szCs w:val="20"/>
    </w:rPr>
  </w:style>
  <w:style w:type="character" w:customStyle="1" w:styleId="EndnoteTextChar">
    <w:name w:val="Endnote Text Char"/>
    <w:basedOn w:val="DefaultParagraphFont"/>
    <w:link w:val="EndnoteText"/>
    <w:uiPriority w:val="99"/>
    <w:semiHidden/>
    <w:rsid w:val="00F70829"/>
    <w:rPr>
      <w:rFonts w:ascii="Eurobank Sans" w:eastAsia="Eurobank Sans" w:hAnsi="Eurobank Sans" w:cs="Eurobank Sans"/>
      <w:sz w:val="20"/>
      <w:szCs w:val="20"/>
    </w:rPr>
  </w:style>
  <w:style w:type="character" w:styleId="EndnoteReference">
    <w:name w:val="endnote reference"/>
    <w:basedOn w:val="DefaultParagraphFont"/>
    <w:uiPriority w:val="99"/>
    <w:semiHidden/>
    <w:unhideWhenUsed/>
    <w:rsid w:val="00F70829"/>
    <w:rPr>
      <w:vertAlign w:val="superscript"/>
    </w:rPr>
  </w:style>
  <w:style w:type="paragraph" w:customStyle="1" w:styleId="Body">
    <w:name w:val="Body"/>
    <w:rsid w:val="0033088B"/>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lang w:eastAsia="el-GR"/>
      <w14:textOutline w14:w="0" w14:cap="flat" w14:cmpd="sng" w14:algn="ctr">
        <w14:noFill/>
        <w14:prstDash w14:val="solid"/>
        <w14:bevel/>
      </w14:textOutline>
    </w:rPr>
  </w:style>
  <w:style w:type="paragraph" w:customStyle="1" w:styleId="Default">
    <w:name w:val="Default"/>
    <w:rsid w:val="00B00E1A"/>
    <w:pPr>
      <w:widowControl/>
      <w:adjustRightInd w:val="0"/>
    </w:pPr>
    <w:rPr>
      <w:rFonts w:ascii="Times New Roman" w:hAnsi="Times New Roman" w:cs="Times New Roman"/>
      <w:color w:val="000000"/>
      <w:sz w:val="24"/>
      <w:szCs w:val="24"/>
      <w:lang w:val="el-GR"/>
    </w:rPr>
  </w:style>
  <w:style w:type="table" w:styleId="TableGrid">
    <w:name w:val="Table Grid"/>
    <w:basedOn w:val="TableNormal"/>
    <w:uiPriority w:val="39"/>
    <w:rsid w:val="00AC1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546DF"/>
    <w:rPr>
      <w:u w:val="single"/>
    </w:rPr>
  </w:style>
  <w:style w:type="character" w:customStyle="1" w:styleId="ListParagraphChar">
    <w:name w:val="List Paragraph Char"/>
    <w:aliases w:val="Document Char"/>
    <w:basedOn w:val="DefaultParagraphFont"/>
    <w:link w:val="ListParagraph"/>
    <w:uiPriority w:val="1"/>
    <w:locked/>
    <w:rsid w:val="00D0213E"/>
    <w:rPr>
      <w:rFonts w:ascii="Eurobank Sans" w:eastAsia="Eurobank Sans" w:hAnsi="Eurobank Sans" w:cs="Eurobank Sans"/>
    </w:rPr>
  </w:style>
  <w:style w:type="character" w:styleId="CommentReference">
    <w:name w:val="annotation reference"/>
    <w:basedOn w:val="DefaultParagraphFont"/>
    <w:uiPriority w:val="99"/>
    <w:semiHidden/>
    <w:unhideWhenUsed/>
    <w:rsid w:val="00E553A3"/>
    <w:rPr>
      <w:sz w:val="16"/>
      <w:szCs w:val="16"/>
    </w:rPr>
  </w:style>
  <w:style w:type="paragraph" w:styleId="CommentText">
    <w:name w:val="annotation text"/>
    <w:basedOn w:val="Normal"/>
    <w:link w:val="CommentTextChar"/>
    <w:uiPriority w:val="99"/>
    <w:unhideWhenUsed/>
    <w:rsid w:val="00E553A3"/>
    <w:rPr>
      <w:sz w:val="20"/>
      <w:szCs w:val="20"/>
    </w:rPr>
  </w:style>
  <w:style w:type="character" w:customStyle="1" w:styleId="CommentTextChar">
    <w:name w:val="Comment Text Char"/>
    <w:basedOn w:val="DefaultParagraphFont"/>
    <w:link w:val="CommentText"/>
    <w:uiPriority w:val="99"/>
    <w:rsid w:val="00E553A3"/>
    <w:rPr>
      <w:rFonts w:ascii="Eurobank Sans" w:eastAsia="Eurobank Sans" w:hAnsi="Eurobank Sans" w:cs="Eurobank Sans"/>
      <w:sz w:val="20"/>
      <w:szCs w:val="20"/>
    </w:rPr>
  </w:style>
  <w:style w:type="paragraph" w:styleId="CommentSubject">
    <w:name w:val="annotation subject"/>
    <w:basedOn w:val="CommentText"/>
    <w:next w:val="CommentText"/>
    <w:link w:val="CommentSubjectChar"/>
    <w:uiPriority w:val="99"/>
    <w:semiHidden/>
    <w:unhideWhenUsed/>
    <w:rsid w:val="00E553A3"/>
    <w:rPr>
      <w:b/>
      <w:bCs/>
    </w:rPr>
  </w:style>
  <w:style w:type="character" w:customStyle="1" w:styleId="CommentSubjectChar">
    <w:name w:val="Comment Subject Char"/>
    <w:basedOn w:val="CommentTextChar"/>
    <w:link w:val="CommentSubject"/>
    <w:uiPriority w:val="99"/>
    <w:semiHidden/>
    <w:rsid w:val="00E553A3"/>
    <w:rPr>
      <w:rFonts w:ascii="Eurobank Sans" w:eastAsia="Eurobank Sans" w:hAnsi="Eurobank Sans" w:cs="Eurobank Sans"/>
      <w:b/>
      <w:bCs/>
      <w:sz w:val="20"/>
      <w:szCs w:val="20"/>
    </w:rPr>
  </w:style>
  <w:style w:type="paragraph" w:styleId="Revision">
    <w:name w:val="Revision"/>
    <w:hidden/>
    <w:uiPriority w:val="99"/>
    <w:semiHidden/>
    <w:rsid w:val="00801FB5"/>
    <w:pPr>
      <w:widowControl/>
      <w:autoSpaceDE/>
      <w:autoSpaceDN/>
    </w:pPr>
    <w:rPr>
      <w:rFonts w:ascii="Eurobank Sans" w:eastAsia="Eurobank Sans" w:hAnsi="Eurobank Sans" w:cs="Eurobank Sans"/>
    </w:rPr>
  </w:style>
  <w:style w:type="paragraph" w:customStyle="1" w:styleId="a">
    <w:name w:val="Κύριο τμήμα"/>
    <w:rsid w:val="00C82635"/>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lang w:val="en-GB"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9125">
      <w:bodyDiv w:val="1"/>
      <w:marLeft w:val="0"/>
      <w:marRight w:val="0"/>
      <w:marTop w:val="0"/>
      <w:marBottom w:val="0"/>
      <w:divBdr>
        <w:top w:val="none" w:sz="0" w:space="0" w:color="auto"/>
        <w:left w:val="none" w:sz="0" w:space="0" w:color="auto"/>
        <w:bottom w:val="none" w:sz="0" w:space="0" w:color="auto"/>
        <w:right w:val="none" w:sz="0" w:space="0" w:color="auto"/>
      </w:divBdr>
    </w:div>
    <w:div w:id="168758657">
      <w:bodyDiv w:val="1"/>
      <w:marLeft w:val="0"/>
      <w:marRight w:val="0"/>
      <w:marTop w:val="0"/>
      <w:marBottom w:val="0"/>
      <w:divBdr>
        <w:top w:val="none" w:sz="0" w:space="0" w:color="auto"/>
        <w:left w:val="none" w:sz="0" w:space="0" w:color="auto"/>
        <w:bottom w:val="none" w:sz="0" w:space="0" w:color="auto"/>
        <w:right w:val="none" w:sz="0" w:space="0" w:color="auto"/>
      </w:divBdr>
    </w:div>
    <w:div w:id="189993826">
      <w:bodyDiv w:val="1"/>
      <w:marLeft w:val="0"/>
      <w:marRight w:val="0"/>
      <w:marTop w:val="0"/>
      <w:marBottom w:val="0"/>
      <w:divBdr>
        <w:top w:val="none" w:sz="0" w:space="0" w:color="auto"/>
        <w:left w:val="none" w:sz="0" w:space="0" w:color="auto"/>
        <w:bottom w:val="none" w:sz="0" w:space="0" w:color="auto"/>
        <w:right w:val="none" w:sz="0" w:space="0" w:color="auto"/>
      </w:divBdr>
    </w:div>
    <w:div w:id="981351050">
      <w:bodyDiv w:val="1"/>
      <w:marLeft w:val="0"/>
      <w:marRight w:val="0"/>
      <w:marTop w:val="0"/>
      <w:marBottom w:val="0"/>
      <w:divBdr>
        <w:top w:val="none" w:sz="0" w:space="0" w:color="auto"/>
        <w:left w:val="none" w:sz="0" w:space="0" w:color="auto"/>
        <w:bottom w:val="none" w:sz="0" w:space="0" w:color="auto"/>
        <w:right w:val="none" w:sz="0" w:space="0" w:color="auto"/>
      </w:divBdr>
    </w:div>
    <w:div w:id="1097285036">
      <w:bodyDiv w:val="1"/>
      <w:marLeft w:val="0"/>
      <w:marRight w:val="0"/>
      <w:marTop w:val="0"/>
      <w:marBottom w:val="0"/>
      <w:divBdr>
        <w:top w:val="none" w:sz="0" w:space="0" w:color="auto"/>
        <w:left w:val="none" w:sz="0" w:space="0" w:color="auto"/>
        <w:bottom w:val="none" w:sz="0" w:space="0" w:color="auto"/>
        <w:right w:val="none" w:sz="0" w:space="0" w:color="auto"/>
      </w:divBdr>
    </w:div>
    <w:div w:id="1422213160">
      <w:bodyDiv w:val="1"/>
      <w:marLeft w:val="0"/>
      <w:marRight w:val="0"/>
      <w:marTop w:val="0"/>
      <w:marBottom w:val="0"/>
      <w:divBdr>
        <w:top w:val="none" w:sz="0" w:space="0" w:color="auto"/>
        <w:left w:val="none" w:sz="0" w:space="0" w:color="auto"/>
        <w:bottom w:val="none" w:sz="0" w:space="0" w:color="auto"/>
        <w:right w:val="none" w:sz="0" w:space="0" w:color="auto"/>
      </w:divBdr>
    </w:div>
    <w:div w:id="1514033597">
      <w:bodyDiv w:val="1"/>
      <w:marLeft w:val="0"/>
      <w:marRight w:val="0"/>
      <w:marTop w:val="0"/>
      <w:marBottom w:val="0"/>
      <w:divBdr>
        <w:top w:val="none" w:sz="0" w:space="0" w:color="auto"/>
        <w:left w:val="none" w:sz="0" w:space="0" w:color="auto"/>
        <w:bottom w:val="none" w:sz="0" w:space="0" w:color="auto"/>
        <w:right w:val="none" w:sz="0" w:space="0" w:color="auto"/>
      </w:divBdr>
    </w:div>
    <w:div w:id="1599559457">
      <w:bodyDiv w:val="1"/>
      <w:marLeft w:val="0"/>
      <w:marRight w:val="0"/>
      <w:marTop w:val="0"/>
      <w:marBottom w:val="0"/>
      <w:divBdr>
        <w:top w:val="none" w:sz="0" w:space="0" w:color="auto"/>
        <w:left w:val="none" w:sz="0" w:space="0" w:color="auto"/>
        <w:bottom w:val="none" w:sz="0" w:space="0" w:color="auto"/>
        <w:right w:val="none" w:sz="0" w:space="0" w:color="auto"/>
      </w:divBdr>
    </w:div>
    <w:div w:id="1909532275">
      <w:bodyDiv w:val="1"/>
      <w:marLeft w:val="0"/>
      <w:marRight w:val="0"/>
      <w:marTop w:val="0"/>
      <w:marBottom w:val="0"/>
      <w:divBdr>
        <w:top w:val="none" w:sz="0" w:space="0" w:color="auto"/>
        <w:left w:val="none" w:sz="0" w:space="0" w:color="auto"/>
        <w:bottom w:val="none" w:sz="0" w:space="0" w:color="auto"/>
        <w:right w:val="none" w:sz="0" w:space="0" w:color="auto"/>
      </w:divBdr>
    </w:div>
    <w:div w:id="1916743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500000000000003E-3"/>
          <c:y val="6.5934065934065936E-2"/>
          <c:w val="0.93125000000000002"/>
          <c:h val="0.77472527472527475"/>
        </c:manualLayout>
      </c:layout>
      <c:barChart>
        <c:barDir val="col"/>
        <c:grouping val="stacked"/>
        <c:varyColors val="0"/>
        <c:ser>
          <c:idx val="1"/>
          <c:order val="1"/>
          <c:tx>
            <c:strRef>
              <c:f>Sheet1!$A$3</c:f>
              <c:strCache>
                <c:ptCount val="1"/>
              </c:strCache>
            </c:strRef>
          </c:tx>
          <c:spPr>
            <a:solidFill>
              <a:srgbClr val="993366"/>
            </a:solidFill>
            <a:ln w="13974">
              <a:solidFill>
                <a:srgbClr val="000000"/>
              </a:solidFill>
              <a:prstDash val="solid"/>
            </a:ln>
          </c:spPr>
          <c:invertIfNegative val="0"/>
          <c:dPt>
            <c:idx val="4"/>
            <c:invertIfNegative val="0"/>
            <c:bubble3D val="0"/>
            <c:spPr>
              <a:solidFill>
                <a:srgbClr val="CCCCFF"/>
              </a:solidFill>
              <a:ln w="27949">
                <a:noFill/>
              </a:ln>
            </c:spPr>
            <c:extLst>
              <c:ext xmlns:c16="http://schemas.microsoft.com/office/drawing/2014/chart" uri="{C3380CC4-5D6E-409C-BE32-E72D297353CC}">
                <c16:uniqueId val="{00000006-1397-4353-BADC-47DD718487CC}"/>
              </c:ext>
            </c:extLst>
          </c:dPt>
          <c:cat>
            <c:strRef>
              <c:f>Sheet1!$B$1:$C$1</c:f>
              <c:strCache>
                <c:ptCount val="2"/>
                <c:pt idx="0">
                  <c:v>Α΄ Εξαμ. 2024</c:v>
                </c:pt>
                <c:pt idx="1">
                  <c:v>Α΄ Εξαμ. 2025</c:v>
                </c:pt>
              </c:strCache>
            </c:strRef>
          </c:cat>
          <c:val>
            <c:numRef>
              <c:f>Sheet1!$B$3:$C$3</c:f>
              <c:numCache>
                <c:formatCode>General</c:formatCode>
                <c:ptCount val="2"/>
              </c:numCache>
            </c:numRef>
          </c:val>
          <c:extLst>
            <c:ext xmlns:c16="http://schemas.microsoft.com/office/drawing/2014/chart" uri="{C3380CC4-5D6E-409C-BE32-E72D297353CC}">
              <c16:uniqueId val="{00000007-1397-4353-BADC-47DD718487CC}"/>
            </c:ext>
          </c:extLst>
        </c:ser>
        <c:ser>
          <c:idx val="2"/>
          <c:order val="2"/>
          <c:tx>
            <c:strRef>
              <c:f>Sheet1!$A$4</c:f>
              <c:strCache>
                <c:ptCount val="1"/>
              </c:strCache>
            </c:strRef>
          </c:tx>
          <c:spPr>
            <a:solidFill>
              <a:srgbClr val="FFFFCC"/>
            </a:solidFill>
            <a:ln w="13974">
              <a:solidFill>
                <a:srgbClr val="000000"/>
              </a:solidFill>
              <a:prstDash val="solid"/>
            </a:ln>
          </c:spPr>
          <c:invertIfNegative val="0"/>
          <c:cat>
            <c:strRef>
              <c:f>Sheet1!$B$1:$C$1</c:f>
              <c:strCache>
                <c:ptCount val="2"/>
                <c:pt idx="0">
                  <c:v>Α΄ Εξαμ. 2024</c:v>
                </c:pt>
                <c:pt idx="1">
                  <c:v>Α΄ Εξαμ. 2025</c:v>
                </c:pt>
              </c:strCache>
            </c:strRef>
          </c:cat>
          <c:val>
            <c:numRef>
              <c:f>Sheet1!$B$4:$C$4</c:f>
              <c:numCache>
                <c:formatCode>General</c:formatCode>
                <c:ptCount val="2"/>
              </c:numCache>
            </c:numRef>
          </c:val>
          <c:extLst>
            <c:ext xmlns:c16="http://schemas.microsoft.com/office/drawing/2014/chart" uri="{C3380CC4-5D6E-409C-BE32-E72D297353CC}">
              <c16:uniqueId val="{00000008-1397-4353-BADC-47DD718487CC}"/>
            </c:ext>
          </c:extLst>
        </c:ser>
        <c:ser>
          <c:idx val="3"/>
          <c:order val="3"/>
          <c:tx>
            <c:strRef>
              <c:f>Sheet1!$A$5</c:f>
              <c:strCache>
                <c:ptCount val="1"/>
              </c:strCache>
            </c:strRef>
          </c:tx>
          <c:spPr>
            <a:solidFill>
              <a:srgbClr val="CCFFFF"/>
            </a:solidFill>
            <a:ln w="13974">
              <a:solidFill>
                <a:srgbClr val="000000"/>
              </a:solidFill>
              <a:prstDash val="solid"/>
            </a:ln>
          </c:spPr>
          <c:invertIfNegative val="0"/>
          <c:cat>
            <c:strRef>
              <c:f>Sheet1!$B$1:$C$1</c:f>
              <c:strCache>
                <c:ptCount val="2"/>
                <c:pt idx="0">
                  <c:v>Α΄ Εξαμ. 2024</c:v>
                </c:pt>
                <c:pt idx="1">
                  <c:v>Α΄ Εξαμ. 2025</c:v>
                </c:pt>
              </c:strCache>
            </c:strRef>
          </c:cat>
          <c:val>
            <c:numRef>
              <c:f>Sheet1!$B$5:$C$5</c:f>
              <c:numCache>
                <c:formatCode>General</c:formatCode>
                <c:ptCount val="2"/>
              </c:numCache>
            </c:numRef>
          </c:val>
          <c:extLst>
            <c:ext xmlns:c16="http://schemas.microsoft.com/office/drawing/2014/chart" uri="{C3380CC4-5D6E-409C-BE32-E72D297353CC}">
              <c16:uniqueId val="{00000009-1397-4353-BADC-47DD718487CC}"/>
            </c:ext>
          </c:extLst>
        </c:ser>
        <c:dLbls>
          <c:showLegendKey val="0"/>
          <c:showVal val="0"/>
          <c:showCatName val="0"/>
          <c:showSerName val="0"/>
          <c:showPercent val="0"/>
          <c:showBubbleSize val="0"/>
        </c:dLbls>
        <c:gapWidth val="110"/>
        <c:overlap val="100"/>
        <c:axId val="198224680"/>
        <c:axId val="1"/>
      </c:barChart>
      <c:barChart>
        <c:barDir val="col"/>
        <c:grouping val="stacked"/>
        <c:varyColors val="0"/>
        <c:ser>
          <c:idx val="0"/>
          <c:order val="0"/>
          <c:tx>
            <c:strRef>
              <c:f>Sheet1!$A$2</c:f>
              <c:strCache>
                <c:ptCount val="1"/>
                <c:pt idx="0">
                  <c:v>Κέρδη</c:v>
                </c:pt>
              </c:strCache>
            </c:strRef>
          </c:tx>
          <c:spPr>
            <a:solidFill>
              <a:srgbClr val="021342"/>
            </a:solidFill>
            <a:ln w="13974">
              <a:solidFill>
                <a:srgbClr val="FFFFFF"/>
              </a:solidFill>
              <a:prstDash val="solid"/>
            </a:ln>
          </c:spPr>
          <c:invertIfNegative val="0"/>
          <c:dLbls>
            <c:dLbl>
              <c:idx val="0"/>
              <c:layout>
                <c:manualLayout>
                  <c:x val="5.8004178049172427E-3"/>
                  <c:y val="-0.38288635708245966"/>
                </c:manualLayout>
              </c:layout>
              <c:numFmt formatCode="#,##0" sourceLinked="0"/>
              <c:spPr>
                <a:noFill/>
                <a:ln w="27949">
                  <a:noFill/>
                </a:ln>
              </c:spPr>
              <c:txPr>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ctr"/>
              <c:showLegendKey val="0"/>
              <c:showVal val="1"/>
              <c:showCatName val="0"/>
              <c:showSerName val="0"/>
              <c:showPercent val="0"/>
              <c:showBubbleSize val="0"/>
              <c:extLst>
                <c:ext xmlns:c15="http://schemas.microsoft.com/office/drawing/2012/chart" uri="{CE6537A1-D6FC-4f65-9D91-7224C49458BB}">
                  <c15:layout>
                    <c:manualLayout>
                      <c:w val="0.18571449997321762"/>
                      <c:h val="0.11793916821849783"/>
                    </c:manualLayout>
                  </c15:layout>
                </c:ext>
                <c:ext xmlns:c16="http://schemas.microsoft.com/office/drawing/2014/chart" uri="{C3380CC4-5D6E-409C-BE32-E72D297353CC}">
                  <c16:uniqueId val="{00000000-1397-4353-BADC-47DD718487CC}"/>
                </c:ext>
              </c:extLst>
            </c:dLbl>
            <c:dLbl>
              <c:idx val="1"/>
              <c:layout>
                <c:manualLayout>
                  <c:x val="5.4421768707481992E-3"/>
                  <c:y val="-0.3781438633020034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97-4353-BADC-47DD718487CC}"/>
                </c:ext>
              </c:extLst>
            </c:dLbl>
            <c:dLbl>
              <c:idx val="3"/>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9,0</a:t>
                    </a:r>
                  </a:p>
                </c:rich>
              </c:tx>
              <c:numFmt formatCode="#,##0" sourceLinked="0"/>
              <c:spPr>
                <a:noFill/>
                <a:ln w="27949">
                  <a:noFill/>
                </a:ln>
              </c:spPr>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397-4353-BADC-47DD718487CC}"/>
                </c:ext>
              </c:extLst>
            </c:dLbl>
            <c:dLbl>
              <c:idx val="4"/>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7,9</a:t>
                    </a:r>
                  </a:p>
                </c:rich>
              </c:tx>
              <c:numFmt formatCode="#,##0" sourceLinked="0"/>
              <c:spPr>
                <a:noFill/>
                <a:ln w="27949">
                  <a:noFill/>
                </a:ln>
              </c:sp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397-4353-BADC-47DD718487CC}"/>
                </c:ext>
              </c:extLst>
            </c:dLbl>
            <c:numFmt formatCode="#,##0" sourceLinked="0"/>
            <c:spPr>
              <a:noFill/>
              <a:ln w="27949">
                <a:noFill/>
              </a:ln>
            </c:spPr>
            <c:txPr>
              <a:bodyPr wrap="square" lIns="38100" tIns="19050" rIns="38100" bIns="19050" anchor="ctr">
                <a:spAutoFit/>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Α΄ Εξαμ. 2024</c:v>
                </c:pt>
                <c:pt idx="1">
                  <c:v>Α΄ Εξαμ. 2025</c:v>
                </c:pt>
              </c:strCache>
            </c:strRef>
          </c:cat>
          <c:val>
            <c:numRef>
              <c:f>Sheet1!$B$2:$C$2</c:f>
              <c:numCache>
                <c:formatCode>General</c:formatCode>
                <c:ptCount val="2"/>
                <c:pt idx="0">
                  <c:v>732</c:v>
                </c:pt>
                <c:pt idx="1">
                  <c:v>711</c:v>
                </c:pt>
              </c:numCache>
            </c:numRef>
          </c:val>
          <c:extLst>
            <c:ext xmlns:c16="http://schemas.microsoft.com/office/drawing/2014/chart" uri="{C3380CC4-5D6E-409C-BE32-E72D297353CC}">
              <c16:uniqueId val="{00000004-1397-4353-BADC-47DD718487CC}"/>
            </c:ext>
          </c:extLst>
        </c:ser>
        <c:dLbls>
          <c:showLegendKey val="0"/>
          <c:showVal val="0"/>
          <c:showCatName val="0"/>
          <c:showSerName val="0"/>
          <c:showPercent val="0"/>
          <c:showBubbleSize val="0"/>
        </c:dLbls>
        <c:gapWidth val="100"/>
        <c:overlap val="100"/>
        <c:axId val="798584792"/>
        <c:axId val="798583480"/>
      </c:barChart>
      <c:catAx>
        <c:axId val="198224680"/>
        <c:scaling>
          <c:orientation val="minMax"/>
        </c:scaling>
        <c:delete val="0"/>
        <c:axPos val="b"/>
        <c:numFmt formatCode="General" sourceLinked="1"/>
        <c:majorTickMark val="out"/>
        <c:minorTickMark val="none"/>
        <c:tickLblPos val="nextTo"/>
        <c:spPr>
          <a:ln w="13974">
            <a:solidFill>
              <a:srgbClr val="021342"/>
            </a:solidFill>
            <a:prstDash val="solid"/>
          </a:ln>
        </c:spPr>
        <c:txPr>
          <a:bodyPr rot="0" vert="horz"/>
          <a:lstStyle/>
          <a:p>
            <a:pPr>
              <a:defRPr sz="1100" b="1" i="0" u="none" strike="noStrike" baseline="0">
                <a:ln>
                  <a:noFill/>
                </a:ln>
                <a:solidFill>
                  <a:srgbClr val="EA002A"/>
                </a:solidFill>
                <a:latin typeface="Eurobank Sans" panose="02000503000000020004" pitchFamily="2" charset="0"/>
                <a:ea typeface="Arial"/>
                <a:cs typeface="Arial"/>
              </a:defRPr>
            </a:pPr>
            <a:endParaRPr lang="el-GR"/>
          </a:p>
        </c:txPr>
        <c:crossAx val="1"/>
        <c:crossesAt val="0"/>
        <c:auto val="1"/>
        <c:lblAlgn val="ctr"/>
        <c:lblOffset val="100"/>
        <c:tickLblSkip val="1"/>
        <c:tickMarkSkip val="1"/>
        <c:noMultiLvlLbl val="0"/>
      </c:catAx>
      <c:valAx>
        <c:axId val="1"/>
        <c:scaling>
          <c:orientation val="minMax"/>
          <c:max val="900"/>
          <c:min val="0"/>
        </c:scaling>
        <c:delete val="1"/>
        <c:axPos val="r"/>
        <c:numFmt formatCode="General" sourceLinked="1"/>
        <c:majorTickMark val="out"/>
        <c:minorTickMark val="none"/>
        <c:tickLblPos val="nextTo"/>
        <c:crossAx val="198224680"/>
        <c:crosses val="max"/>
        <c:crossBetween val="between"/>
        <c:majorUnit val="50"/>
        <c:minorUnit val="50"/>
      </c:valAx>
      <c:valAx>
        <c:axId val="798583480"/>
        <c:scaling>
          <c:orientation val="minMax"/>
          <c:max val="400"/>
          <c:min val="0"/>
        </c:scaling>
        <c:delete val="1"/>
        <c:axPos val="l"/>
        <c:numFmt formatCode="General" sourceLinked="1"/>
        <c:majorTickMark val="out"/>
        <c:minorTickMark val="none"/>
        <c:tickLblPos val="nextTo"/>
        <c:crossAx val="798584792"/>
        <c:crosses val="autoZero"/>
        <c:crossBetween val="between"/>
        <c:majorUnit val="400"/>
      </c:valAx>
      <c:catAx>
        <c:axId val="798584792"/>
        <c:scaling>
          <c:orientation val="minMax"/>
        </c:scaling>
        <c:delete val="1"/>
        <c:axPos val="t"/>
        <c:numFmt formatCode="General" sourceLinked="1"/>
        <c:majorTickMark val="out"/>
        <c:minorTickMark val="none"/>
        <c:tickLblPos val="nextTo"/>
        <c:crossAx val="798583480"/>
        <c:crosses val="max"/>
        <c:auto val="1"/>
        <c:lblAlgn val="ctr"/>
        <c:lblOffset val="100"/>
        <c:noMultiLvlLbl val="0"/>
      </c:catAx>
      <c:spPr>
        <a:noFill/>
        <a:ln w="27949">
          <a:noFill/>
        </a:ln>
      </c:spPr>
    </c:plotArea>
    <c:plotVisOnly val="1"/>
    <c:dispBlanksAs val="gap"/>
    <c:showDLblsOverMax val="0"/>
  </c:chart>
  <c:spPr>
    <a:noFill/>
    <a:ln>
      <a:noFill/>
    </a:ln>
  </c:spPr>
  <c:txPr>
    <a:bodyPr/>
    <a:lstStyle/>
    <a:p>
      <a:pPr>
        <a:defRPr sz="495" b="1" i="0" u="none" strike="noStrike" baseline="0">
          <a:solidFill>
            <a:srgbClr val="000000"/>
          </a:solidFill>
          <a:latin typeface="Arial"/>
          <a:ea typeface="Arial"/>
          <a:cs typeface="Arial"/>
        </a:defRPr>
      </a:pPr>
      <a:endParaRPr lang="el-G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000000000000001E-2"/>
          <c:y val="0.11587508034709947"/>
          <c:w val="0.88307193308153553"/>
          <c:h val="0.69731138518399483"/>
        </c:manualLayout>
      </c:layout>
      <c:barChart>
        <c:barDir val="col"/>
        <c:grouping val="stacked"/>
        <c:varyColors val="0"/>
        <c:ser>
          <c:idx val="1"/>
          <c:order val="1"/>
          <c:tx>
            <c:strRef>
              <c:f>Sheet1!$A$3</c:f>
              <c:strCache>
                <c:ptCount val="1"/>
              </c:strCache>
            </c:strRef>
          </c:tx>
          <c:spPr>
            <a:solidFill>
              <a:srgbClr val="993366"/>
            </a:solidFill>
            <a:ln w="13939">
              <a:solidFill>
                <a:srgbClr val="000000"/>
              </a:solidFill>
              <a:prstDash val="solid"/>
            </a:ln>
          </c:spPr>
          <c:invertIfNegative val="0"/>
          <c:dPt>
            <c:idx val="4"/>
            <c:invertIfNegative val="0"/>
            <c:bubble3D val="0"/>
            <c:spPr>
              <a:solidFill>
                <a:srgbClr val="CCCCFF"/>
              </a:solidFill>
              <a:ln w="27879">
                <a:noFill/>
              </a:ln>
            </c:spPr>
            <c:extLst>
              <c:ext xmlns:c16="http://schemas.microsoft.com/office/drawing/2014/chart" uri="{C3380CC4-5D6E-409C-BE32-E72D297353CC}">
                <c16:uniqueId val="{00000006-7DB1-4FC1-A6C4-61B895F22B9E}"/>
              </c:ext>
            </c:extLst>
          </c:dPt>
          <c:cat>
            <c:strRef>
              <c:f>Sheet1!$B$1:$C$1</c:f>
              <c:strCache>
                <c:ptCount val="2"/>
                <c:pt idx="0">
                  <c:v>Α΄ Εξαμ. 2024</c:v>
                </c:pt>
                <c:pt idx="1">
                  <c:v>Α΄ Εξαμ. 2025</c:v>
                </c:pt>
              </c:strCache>
            </c:strRef>
          </c:cat>
          <c:val>
            <c:numRef>
              <c:f>Sheet1!$B$3:$C$3</c:f>
              <c:numCache>
                <c:formatCode>General</c:formatCode>
                <c:ptCount val="2"/>
              </c:numCache>
            </c:numRef>
          </c:val>
          <c:extLst>
            <c:ext xmlns:c16="http://schemas.microsoft.com/office/drawing/2014/chart" uri="{C3380CC4-5D6E-409C-BE32-E72D297353CC}">
              <c16:uniqueId val="{00000007-7DB1-4FC1-A6C4-61B895F22B9E}"/>
            </c:ext>
          </c:extLst>
        </c:ser>
        <c:ser>
          <c:idx val="2"/>
          <c:order val="2"/>
          <c:tx>
            <c:strRef>
              <c:f>Sheet1!$A$4</c:f>
              <c:strCache>
                <c:ptCount val="1"/>
              </c:strCache>
            </c:strRef>
          </c:tx>
          <c:spPr>
            <a:solidFill>
              <a:srgbClr val="FFFFCC"/>
            </a:solidFill>
            <a:ln w="13939">
              <a:solidFill>
                <a:srgbClr val="000000"/>
              </a:solidFill>
              <a:prstDash val="solid"/>
            </a:ln>
          </c:spPr>
          <c:invertIfNegative val="0"/>
          <c:cat>
            <c:strRef>
              <c:f>Sheet1!$B$1:$C$1</c:f>
              <c:strCache>
                <c:ptCount val="2"/>
                <c:pt idx="0">
                  <c:v>Α΄ Εξαμ. 2024</c:v>
                </c:pt>
                <c:pt idx="1">
                  <c:v>Α΄ Εξαμ. 2025</c:v>
                </c:pt>
              </c:strCache>
            </c:strRef>
          </c:cat>
          <c:val>
            <c:numRef>
              <c:f>Sheet1!$B$4:$C$4</c:f>
              <c:numCache>
                <c:formatCode>General</c:formatCode>
                <c:ptCount val="2"/>
              </c:numCache>
            </c:numRef>
          </c:val>
          <c:extLst>
            <c:ext xmlns:c16="http://schemas.microsoft.com/office/drawing/2014/chart" uri="{C3380CC4-5D6E-409C-BE32-E72D297353CC}">
              <c16:uniqueId val="{00000008-7DB1-4FC1-A6C4-61B895F22B9E}"/>
            </c:ext>
          </c:extLst>
        </c:ser>
        <c:ser>
          <c:idx val="3"/>
          <c:order val="3"/>
          <c:tx>
            <c:strRef>
              <c:f>Sheet1!$A$5</c:f>
              <c:strCache>
                <c:ptCount val="1"/>
              </c:strCache>
            </c:strRef>
          </c:tx>
          <c:spPr>
            <a:solidFill>
              <a:srgbClr val="CCFFFF"/>
            </a:solidFill>
            <a:ln w="13939">
              <a:solidFill>
                <a:srgbClr val="000000"/>
              </a:solidFill>
              <a:prstDash val="solid"/>
            </a:ln>
          </c:spPr>
          <c:invertIfNegative val="0"/>
          <c:cat>
            <c:strRef>
              <c:f>Sheet1!$B$1:$C$1</c:f>
              <c:strCache>
                <c:ptCount val="2"/>
                <c:pt idx="0">
                  <c:v>Α΄ Εξαμ. 2024</c:v>
                </c:pt>
                <c:pt idx="1">
                  <c:v>Α΄ Εξαμ. 2025</c:v>
                </c:pt>
              </c:strCache>
            </c:strRef>
          </c:cat>
          <c:val>
            <c:numRef>
              <c:f>Sheet1!$B$5:$C$5</c:f>
              <c:numCache>
                <c:formatCode>General</c:formatCode>
                <c:ptCount val="2"/>
              </c:numCache>
            </c:numRef>
          </c:val>
          <c:extLst>
            <c:ext xmlns:c16="http://schemas.microsoft.com/office/drawing/2014/chart" uri="{C3380CC4-5D6E-409C-BE32-E72D297353CC}">
              <c16:uniqueId val="{00000009-7DB1-4FC1-A6C4-61B895F22B9E}"/>
            </c:ext>
          </c:extLst>
        </c:ser>
        <c:dLbls>
          <c:showLegendKey val="0"/>
          <c:showVal val="0"/>
          <c:showCatName val="0"/>
          <c:showSerName val="0"/>
          <c:showPercent val="0"/>
          <c:showBubbleSize val="0"/>
        </c:dLbls>
        <c:gapWidth val="100"/>
        <c:overlap val="100"/>
        <c:axId val="172631000"/>
        <c:axId val="1"/>
      </c:barChart>
      <c:barChart>
        <c:barDir val="col"/>
        <c:grouping val="stacked"/>
        <c:varyColors val="0"/>
        <c:ser>
          <c:idx val="0"/>
          <c:order val="0"/>
          <c:tx>
            <c:strRef>
              <c:f>Sheet1!$A$2</c:f>
              <c:strCache>
                <c:ptCount val="1"/>
                <c:pt idx="0">
                  <c:v>Κέρδη</c:v>
                </c:pt>
              </c:strCache>
            </c:strRef>
          </c:tx>
          <c:spPr>
            <a:solidFill>
              <a:srgbClr val="021342"/>
            </a:solidFill>
            <a:ln w="13939">
              <a:solidFill>
                <a:srgbClr val="FFFFFF"/>
              </a:solidFill>
              <a:prstDash val="solid"/>
            </a:ln>
          </c:spPr>
          <c:invertIfNegative val="0"/>
          <c:dLbls>
            <c:dLbl>
              <c:idx val="0"/>
              <c:layout>
                <c:manualLayout>
                  <c:x val="-7.9285482268648714E-4"/>
                  <c:y val="-0.3477206532219187"/>
                </c:manualLayout>
              </c:layout>
              <c:numFmt formatCode="#,##0" sourceLinked="0"/>
              <c:spPr>
                <a:noFill/>
                <a:ln w="27879">
                  <a:noFill/>
                </a:ln>
              </c:spPr>
              <c:txPr>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DB1-4FC1-A6C4-61B895F22B9E}"/>
                </c:ext>
              </c:extLst>
            </c:dLbl>
            <c:dLbl>
              <c:idx val="1"/>
              <c:layout>
                <c:manualLayout>
                  <c:x val="-1.1040723605870997E-16"/>
                  <c:y val="-0.37554083641330549"/>
                </c:manualLayout>
              </c:layout>
              <c:numFmt formatCode="#,##0" sourceLinked="0"/>
              <c:spPr>
                <a:noFill/>
                <a:ln w="27879">
                  <a:noFill/>
                </a:ln>
              </c:spPr>
              <c:txPr>
                <a:bodyPr wrap="square" lIns="38100" tIns="19050" rIns="38100" bIns="19050" anchor="ctr">
                  <a:noAutofit/>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ctr"/>
              <c:showLegendKey val="0"/>
              <c:showVal val="1"/>
              <c:showCatName val="0"/>
              <c:showSerName val="0"/>
              <c:showPercent val="0"/>
              <c:showBubbleSize val="0"/>
              <c:extLst>
                <c:ext xmlns:c15="http://schemas.microsoft.com/office/drawing/2012/chart" uri="{CE6537A1-D6FC-4f65-9D91-7224C49458BB}">
                  <c15:layout>
                    <c:manualLayout>
                      <c:w val="0.20442661469484336"/>
                      <c:h val="0.10841836734693877"/>
                    </c:manualLayout>
                  </c15:layout>
                </c:ext>
                <c:ext xmlns:c16="http://schemas.microsoft.com/office/drawing/2014/chart" uri="{C3380CC4-5D6E-409C-BE32-E72D297353CC}">
                  <c16:uniqueId val="{00000001-7DB1-4FC1-A6C4-61B895F22B9E}"/>
                </c:ext>
              </c:extLst>
            </c:dLbl>
            <c:dLbl>
              <c:idx val="3"/>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9,0</a:t>
                    </a:r>
                  </a:p>
                </c:rich>
              </c:tx>
              <c:numFmt formatCode="#,##0" sourceLinked="0"/>
              <c:spPr>
                <a:noFill/>
                <a:ln w="27879">
                  <a:noFill/>
                </a:ln>
              </c:sp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DB1-4FC1-A6C4-61B895F22B9E}"/>
                </c:ext>
              </c:extLst>
            </c:dLbl>
            <c:dLbl>
              <c:idx val="4"/>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7,9</a:t>
                    </a:r>
                  </a:p>
                </c:rich>
              </c:tx>
              <c:numFmt formatCode="#,##0" sourceLinked="0"/>
              <c:spPr>
                <a:noFill/>
                <a:ln w="27879">
                  <a:noFill/>
                </a:ln>
              </c:sp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DB1-4FC1-A6C4-61B895F22B9E}"/>
                </c:ext>
              </c:extLst>
            </c:dLbl>
            <c:numFmt formatCode="#,##0" sourceLinked="0"/>
            <c:spPr>
              <a:noFill/>
              <a:ln w="27879">
                <a:noFill/>
              </a:ln>
            </c:spPr>
            <c:txPr>
              <a:bodyPr wrap="square" lIns="38100" tIns="19050" rIns="38100" bIns="19050" anchor="ctr">
                <a:spAutoFit/>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Α΄ Εξαμ. 2024</c:v>
                </c:pt>
                <c:pt idx="1">
                  <c:v>Α΄ Εξαμ. 2025</c:v>
                </c:pt>
              </c:strCache>
            </c:strRef>
          </c:cat>
          <c:val>
            <c:numRef>
              <c:f>Sheet1!$B$2:$C$2</c:f>
              <c:numCache>
                <c:formatCode>General</c:formatCode>
                <c:ptCount val="2"/>
                <c:pt idx="0">
                  <c:v>814</c:v>
                </c:pt>
                <c:pt idx="1">
                  <c:v>866</c:v>
                </c:pt>
              </c:numCache>
            </c:numRef>
          </c:val>
          <c:extLst>
            <c:ext xmlns:c16="http://schemas.microsoft.com/office/drawing/2014/chart" uri="{C3380CC4-5D6E-409C-BE32-E72D297353CC}">
              <c16:uniqueId val="{00000004-7DB1-4FC1-A6C4-61B895F22B9E}"/>
            </c:ext>
          </c:extLst>
        </c:ser>
        <c:dLbls>
          <c:showLegendKey val="0"/>
          <c:showVal val="0"/>
          <c:showCatName val="0"/>
          <c:showSerName val="0"/>
          <c:showPercent val="0"/>
          <c:showBubbleSize val="0"/>
        </c:dLbls>
        <c:gapWidth val="100"/>
        <c:overlap val="100"/>
        <c:axId val="537183848"/>
        <c:axId val="537186800"/>
      </c:barChart>
      <c:catAx>
        <c:axId val="172631000"/>
        <c:scaling>
          <c:orientation val="minMax"/>
        </c:scaling>
        <c:delete val="0"/>
        <c:axPos val="b"/>
        <c:numFmt formatCode="General" sourceLinked="1"/>
        <c:majorTickMark val="out"/>
        <c:minorTickMark val="none"/>
        <c:tickLblPos val="nextTo"/>
        <c:spPr>
          <a:ln w="13939">
            <a:solidFill>
              <a:srgbClr val="021342"/>
            </a:solidFill>
            <a:prstDash val="solid"/>
          </a:ln>
        </c:spPr>
        <c:txPr>
          <a:bodyPr rot="0" vert="horz"/>
          <a:lstStyle/>
          <a:p>
            <a:pPr>
              <a:defRPr sz="1100" b="1" i="0" u="none" strike="noStrike" baseline="0">
                <a:solidFill>
                  <a:srgbClr val="EA002A"/>
                </a:solidFill>
                <a:latin typeface="Eurobank Sans" panose="02000503000000020004" pitchFamily="2" charset="0"/>
                <a:ea typeface="Arial"/>
                <a:cs typeface="Arial"/>
              </a:defRPr>
            </a:pPr>
            <a:endParaRPr lang="el-GR"/>
          </a:p>
        </c:txPr>
        <c:crossAx val="1"/>
        <c:crossesAt val="0"/>
        <c:auto val="1"/>
        <c:lblAlgn val="ctr"/>
        <c:lblOffset val="100"/>
        <c:tickLblSkip val="1"/>
        <c:tickMarkSkip val="1"/>
        <c:noMultiLvlLbl val="0"/>
      </c:catAx>
      <c:valAx>
        <c:axId val="1"/>
        <c:scaling>
          <c:orientation val="minMax"/>
          <c:max val="1000"/>
          <c:min val="0"/>
        </c:scaling>
        <c:delete val="1"/>
        <c:axPos val="l"/>
        <c:numFmt formatCode="General" sourceLinked="1"/>
        <c:majorTickMark val="out"/>
        <c:minorTickMark val="none"/>
        <c:tickLblPos val="nextTo"/>
        <c:crossAx val="172631000"/>
        <c:crosses val="autoZero"/>
        <c:crossBetween val="between"/>
        <c:majorUnit val="50"/>
        <c:minorUnit val="50"/>
      </c:valAx>
      <c:valAx>
        <c:axId val="537186800"/>
        <c:scaling>
          <c:orientation val="minMax"/>
          <c:max val="900"/>
        </c:scaling>
        <c:delete val="1"/>
        <c:axPos val="r"/>
        <c:numFmt formatCode="General" sourceLinked="1"/>
        <c:majorTickMark val="out"/>
        <c:minorTickMark val="none"/>
        <c:tickLblPos val="nextTo"/>
        <c:crossAx val="537183848"/>
        <c:crosses val="max"/>
        <c:crossBetween val="between"/>
      </c:valAx>
      <c:catAx>
        <c:axId val="537183848"/>
        <c:scaling>
          <c:orientation val="minMax"/>
        </c:scaling>
        <c:delete val="1"/>
        <c:axPos val="t"/>
        <c:numFmt formatCode="General" sourceLinked="1"/>
        <c:majorTickMark val="out"/>
        <c:minorTickMark val="none"/>
        <c:tickLblPos val="nextTo"/>
        <c:crossAx val="537186800"/>
        <c:crosses val="max"/>
        <c:auto val="1"/>
        <c:lblAlgn val="ctr"/>
        <c:lblOffset val="100"/>
        <c:noMultiLvlLbl val="0"/>
      </c:catAx>
      <c:spPr>
        <a:noFill/>
        <a:ln w="27879">
          <a:noFill/>
        </a:ln>
      </c:spPr>
    </c:plotArea>
    <c:plotVisOnly val="1"/>
    <c:dispBlanksAs val="gap"/>
    <c:showDLblsOverMax val="0"/>
  </c:chart>
  <c:spPr>
    <a:noFill/>
    <a:ln>
      <a:noFill/>
    </a:ln>
  </c:spPr>
  <c:txPr>
    <a:bodyPr/>
    <a:lstStyle/>
    <a:p>
      <a:pPr>
        <a:defRPr sz="494" b="1" i="0" u="none" strike="noStrike" baseline="0">
          <a:solidFill>
            <a:srgbClr val="000000"/>
          </a:solidFill>
          <a:latin typeface="Arial"/>
          <a:ea typeface="Arial"/>
          <a:cs typeface="Arial"/>
        </a:defRPr>
      </a:pPr>
      <a:endParaRPr lang="el-G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7097290804751101E-2"/>
          <c:y val="5.9877335139285656E-2"/>
          <c:w val="0.9375"/>
          <c:h val="0.77472527472527475"/>
        </c:manualLayout>
      </c:layout>
      <c:barChart>
        <c:barDir val="col"/>
        <c:grouping val="stacked"/>
        <c:varyColors val="0"/>
        <c:ser>
          <c:idx val="0"/>
          <c:order val="0"/>
          <c:tx>
            <c:strRef>
              <c:f>Sheet1!$A$2</c:f>
              <c:strCache>
                <c:ptCount val="1"/>
                <c:pt idx="0">
                  <c:v>Κέρδη</c:v>
                </c:pt>
              </c:strCache>
            </c:strRef>
          </c:tx>
          <c:spPr>
            <a:solidFill>
              <a:srgbClr val="021342"/>
            </a:solidFill>
            <a:ln w="13949">
              <a:solidFill>
                <a:srgbClr val="FFFFFF"/>
              </a:solidFill>
              <a:prstDash val="solid"/>
            </a:ln>
          </c:spPr>
          <c:invertIfNegative val="0"/>
          <c:dLbls>
            <c:dLbl>
              <c:idx val="0"/>
              <c:layout>
                <c:manualLayout>
                  <c:x val="8.6053650073401322E-3"/>
                  <c:y val="-0.40283483643890367"/>
                </c:manualLayout>
              </c:layout>
              <c:tx>
                <c:rich>
                  <a:bodyPr/>
                  <a:lstStyle/>
                  <a:p>
                    <a:pPr>
                      <a:defRPr sz="1100" b="1" i="0" u="none" strike="noStrike" baseline="0">
                        <a:solidFill>
                          <a:srgbClr val="021342"/>
                        </a:solidFill>
                        <a:latin typeface="Eurobank Sans" panose="02000503000000020004" pitchFamily="2" charset="0"/>
                        <a:ea typeface="Arial"/>
                        <a:cs typeface="Arial"/>
                      </a:defRPr>
                    </a:pPr>
                    <a:r>
                      <a:rPr lang="en-US"/>
                      <a:t>93,2</a:t>
                    </a:r>
                  </a:p>
                </c:rich>
              </c:tx>
              <c:numFmt formatCode="0.0" sourceLinked="0"/>
              <c:spPr>
                <a:noFill/>
                <a:ln w="27899">
                  <a:noFill/>
                </a:ln>
              </c:sp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E53-40FA-9694-96D80789D2B8}"/>
                </c:ext>
              </c:extLst>
            </c:dLbl>
            <c:dLbl>
              <c:idx val="1"/>
              <c:layout>
                <c:manualLayout>
                  <c:x val="-1.1299435028248588E-2"/>
                  <c:y val="-0.38377313677704278"/>
                </c:manualLayout>
              </c:layout>
              <c:tx>
                <c:rich>
                  <a:bodyPr/>
                  <a:lstStyle/>
                  <a:p>
                    <a:r>
                      <a:rPr lang="en-US"/>
                      <a:t>92,8</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E53-40FA-9694-96D80789D2B8}"/>
                </c:ext>
              </c:extLst>
            </c:dLbl>
            <c:dLbl>
              <c:idx val="3"/>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9,0</a:t>
                    </a:r>
                  </a:p>
                </c:rich>
              </c:tx>
              <c:numFmt formatCode="0.0" sourceLinked="0"/>
              <c:spPr>
                <a:noFill/>
                <a:ln w="27899">
                  <a:noFill/>
                </a:ln>
              </c:spPr>
              <c:dLblPos val="in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E53-40FA-9694-96D80789D2B8}"/>
                </c:ext>
              </c:extLst>
            </c:dLbl>
            <c:dLbl>
              <c:idx val="4"/>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7,9</a:t>
                    </a:r>
                  </a:p>
                </c:rich>
              </c:tx>
              <c:numFmt formatCode="0.0" sourceLinked="0"/>
              <c:spPr>
                <a:noFill/>
                <a:ln w="27899">
                  <a:noFill/>
                </a:ln>
              </c:spPr>
              <c:dLblPos val="ct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E53-40FA-9694-96D80789D2B8}"/>
                </c:ext>
              </c:extLst>
            </c:dLbl>
            <c:numFmt formatCode="0.0" sourceLinked="0"/>
            <c:spPr>
              <a:noFill/>
              <a:ln w="27899">
                <a:noFill/>
              </a:ln>
            </c:spPr>
            <c:txPr>
              <a:bodyPr wrap="square" lIns="38100" tIns="19050" rIns="38100" bIns="19050" anchor="ctr">
                <a:spAutoFit/>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Α΄ Εξαμ. 2024</c:v>
                </c:pt>
                <c:pt idx="1">
                  <c:v>Α΄ Εξαμ. 2025</c:v>
                </c:pt>
              </c:strCache>
            </c:strRef>
          </c:cat>
          <c:val>
            <c:numRef>
              <c:f>Sheet1!$B$2:$C$2</c:f>
              <c:numCache>
                <c:formatCode>General</c:formatCode>
                <c:ptCount val="2"/>
                <c:pt idx="0">
                  <c:v>93.2</c:v>
                </c:pt>
                <c:pt idx="1">
                  <c:v>92.8</c:v>
                </c:pt>
              </c:numCache>
            </c:numRef>
          </c:val>
          <c:extLst>
            <c:ext xmlns:c16="http://schemas.microsoft.com/office/drawing/2014/chart" uri="{C3380CC4-5D6E-409C-BE32-E72D297353CC}">
              <c16:uniqueId val="{00000004-3E53-40FA-9694-96D80789D2B8}"/>
            </c:ext>
          </c:extLst>
        </c:ser>
        <c:ser>
          <c:idx val="1"/>
          <c:order val="1"/>
          <c:tx>
            <c:strRef>
              <c:f>Sheet1!$A$3</c:f>
              <c:strCache>
                <c:ptCount val="1"/>
              </c:strCache>
            </c:strRef>
          </c:tx>
          <c:spPr>
            <a:solidFill>
              <a:srgbClr val="993366"/>
            </a:solidFill>
            <a:ln w="13949">
              <a:solidFill>
                <a:srgbClr val="000000"/>
              </a:solidFill>
              <a:prstDash val="solid"/>
            </a:ln>
          </c:spPr>
          <c:invertIfNegative val="0"/>
          <c:dPt>
            <c:idx val="4"/>
            <c:invertIfNegative val="0"/>
            <c:bubble3D val="0"/>
            <c:spPr>
              <a:solidFill>
                <a:srgbClr val="CCCCFF"/>
              </a:solidFill>
              <a:ln w="27899">
                <a:noFill/>
              </a:ln>
            </c:spPr>
            <c:extLst>
              <c:ext xmlns:c16="http://schemas.microsoft.com/office/drawing/2014/chart" uri="{C3380CC4-5D6E-409C-BE32-E72D297353CC}">
                <c16:uniqueId val="{00000006-3E53-40FA-9694-96D80789D2B8}"/>
              </c:ext>
            </c:extLst>
          </c:dPt>
          <c:cat>
            <c:strRef>
              <c:f>Sheet1!$B$1:$C$1</c:f>
              <c:strCache>
                <c:ptCount val="2"/>
                <c:pt idx="0">
                  <c:v>Α΄ Εξαμ. 2024</c:v>
                </c:pt>
                <c:pt idx="1">
                  <c:v>Α΄ Εξαμ. 2025</c:v>
                </c:pt>
              </c:strCache>
            </c:strRef>
          </c:cat>
          <c:val>
            <c:numRef>
              <c:f>Sheet1!$B$3:$C$3</c:f>
              <c:numCache>
                <c:formatCode>General</c:formatCode>
                <c:ptCount val="2"/>
              </c:numCache>
            </c:numRef>
          </c:val>
          <c:extLst>
            <c:ext xmlns:c16="http://schemas.microsoft.com/office/drawing/2014/chart" uri="{C3380CC4-5D6E-409C-BE32-E72D297353CC}">
              <c16:uniqueId val="{00000007-3E53-40FA-9694-96D80789D2B8}"/>
            </c:ext>
          </c:extLst>
        </c:ser>
        <c:ser>
          <c:idx val="2"/>
          <c:order val="2"/>
          <c:tx>
            <c:strRef>
              <c:f>Sheet1!$A$4</c:f>
              <c:strCache>
                <c:ptCount val="1"/>
              </c:strCache>
            </c:strRef>
          </c:tx>
          <c:spPr>
            <a:solidFill>
              <a:srgbClr val="FFFFCC"/>
            </a:solidFill>
            <a:ln w="13949">
              <a:solidFill>
                <a:srgbClr val="000000"/>
              </a:solidFill>
              <a:prstDash val="solid"/>
            </a:ln>
          </c:spPr>
          <c:invertIfNegative val="0"/>
          <c:cat>
            <c:strRef>
              <c:f>Sheet1!$B$1:$C$1</c:f>
              <c:strCache>
                <c:ptCount val="2"/>
                <c:pt idx="0">
                  <c:v>Α΄ Εξαμ. 2024</c:v>
                </c:pt>
                <c:pt idx="1">
                  <c:v>Α΄ Εξαμ. 2025</c:v>
                </c:pt>
              </c:strCache>
            </c:strRef>
          </c:cat>
          <c:val>
            <c:numRef>
              <c:f>Sheet1!$B$4:$C$4</c:f>
              <c:numCache>
                <c:formatCode>General</c:formatCode>
                <c:ptCount val="2"/>
              </c:numCache>
            </c:numRef>
          </c:val>
          <c:extLst>
            <c:ext xmlns:c16="http://schemas.microsoft.com/office/drawing/2014/chart" uri="{C3380CC4-5D6E-409C-BE32-E72D297353CC}">
              <c16:uniqueId val="{00000008-3E53-40FA-9694-96D80789D2B8}"/>
            </c:ext>
          </c:extLst>
        </c:ser>
        <c:ser>
          <c:idx val="3"/>
          <c:order val="3"/>
          <c:tx>
            <c:strRef>
              <c:f>Sheet1!$A$5</c:f>
              <c:strCache>
                <c:ptCount val="1"/>
              </c:strCache>
            </c:strRef>
          </c:tx>
          <c:spPr>
            <a:solidFill>
              <a:srgbClr val="CCFFFF"/>
            </a:solidFill>
            <a:ln w="13949">
              <a:solidFill>
                <a:srgbClr val="000000"/>
              </a:solidFill>
              <a:prstDash val="solid"/>
            </a:ln>
          </c:spPr>
          <c:invertIfNegative val="0"/>
          <c:cat>
            <c:strRef>
              <c:f>Sheet1!$B$1:$C$1</c:f>
              <c:strCache>
                <c:ptCount val="2"/>
                <c:pt idx="0">
                  <c:v>Α΄ Εξαμ. 2024</c:v>
                </c:pt>
                <c:pt idx="1">
                  <c:v>Α΄ Εξαμ. 2025</c:v>
                </c:pt>
              </c:strCache>
            </c:strRef>
          </c:cat>
          <c:val>
            <c:numRef>
              <c:f>Sheet1!$B$5:$C$5</c:f>
              <c:numCache>
                <c:formatCode>General</c:formatCode>
                <c:ptCount val="2"/>
              </c:numCache>
            </c:numRef>
          </c:val>
          <c:extLst>
            <c:ext xmlns:c16="http://schemas.microsoft.com/office/drawing/2014/chart" uri="{C3380CC4-5D6E-409C-BE32-E72D297353CC}">
              <c16:uniqueId val="{00000009-3E53-40FA-9694-96D80789D2B8}"/>
            </c:ext>
          </c:extLst>
        </c:ser>
        <c:dLbls>
          <c:showLegendKey val="0"/>
          <c:showVal val="0"/>
          <c:showCatName val="0"/>
          <c:showSerName val="0"/>
          <c:showPercent val="0"/>
          <c:showBubbleSize val="0"/>
        </c:dLbls>
        <c:gapWidth val="110"/>
        <c:overlap val="100"/>
        <c:axId val="198317992"/>
        <c:axId val="1"/>
      </c:barChart>
      <c:catAx>
        <c:axId val="198317992"/>
        <c:scaling>
          <c:orientation val="minMax"/>
        </c:scaling>
        <c:delete val="0"/>
        <c:axPos val="b"/>
        <c:numFmt formatCode="General" sourceLinked="1"/>
        <c:majorTickMark val="out"/>
        <c:minorTickMark val="none"/>
        <c:tickLblPos val="nextTo"/>
        <c:spPr>
          <a:ln w="13949">
            <a:solidFill>
              <a:srgbClr val="021342"/>
            </a:solidFill>
            <a:prstDash val="solid"/>
          </a:ln>
        </c:spPr>
        <c:txPr>
          <a:bodyPr rot="0" vert="horz"/>
          <a:lstStyle/>
          <a:p>
            <a:pPr>
              <a:defRPr sz="1100" b="1" i="0" u="none" strike="noStrike" baseline="0">
                <a:solidFill>
                  <a:srgbClr val="EA002A"/>
                </a:solidFill>
                <a:latin typeface="Eurobank Sans" panose="02000503000000020004" pitchFamily="2" charset="0"/>
                <a:ea typeface="Arial"/>
                <a:cs typeface="Arial"/>
              </a:defRPr>
            </a:pPr>
            <a:endParaRPr lang="el-GR"/>
          </a:p>
        </c:txPr>
        <c:crossAx val="1"/>
        <c:crossesAt val="0"/>
        <c:auto val="1"/>
        <c:lblAlgn val="ctr"/>
        <c:lblOffset val="100"/>
        <c:tickLblSkip val="1"/>
        <c:tickMarkSkip val="1"/>
        <c:noMultiLvlLbl val="0"/>
      </c:catAx>
      <c:valAx>
        <c:axId val="1"/>
        <c:scaling>
          <c:orientation val="minMax"/>
          <c:max val="100"/>
          <c:min val="0"/>
        </c:scaling>
        <c:delete val="1"/>
        <c:axPos val="l"/>
        <c:numFmt formatCode="General" sourceLinked="1"/>
        <c:majorTickMark val="out"/>
        <c:minorTickMark val="none"/>
        <c:tickLblPos val="nextTo"/>
        <c:crossAx val="198317992"/>
        <c:crosses val="autoZero"/>
        <c:crossBetween val="between"/>
        <c:majorUnit val="10"/>
        <c:minorUnit val="10"/>
      </c:valAx>
      <c:spPr>
        <a:noFill/>
        <a:ln w="27899">
          <a:noFill/>
        </a:ln>
      </c:spPr>
    </c:plotArea>
    <c:plotVisOnly val="1"/>
    <c:dispBlanksAs val="gap"/>
    <c:showDLblsOverMax val="0"/>
  </c:chart>
  <c:spPr>
    <a:noFill/>
    <a:ln>
      <a:noFill/>
    </a:ln>
  </c:spPr>
  <c:txPr>
    <a:bodyPr/>
    <a:lstStyle/>
    <a:p>
      <a:pPr>
        <a:defRPr sz="494" b="1" i="0" u="none" strike="noStrike" baseline="0">
          <a:solidFill>
            <a:srgbClr val="000000"/>
          </a:solidFill>
          <a:latin typeface="Arial"/>
          <a:ea typeface="Arial"/>
          <a:cs typeface="Arial"/>
        </a:defRPr>
      </a:pPr>
      <a:endParaRPr lang="el-G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8071961544905082E-2"/>
          <c:y val="0.10946644729110354"/>
          <c:w val="0.9375"/>
          <c:h val="0.77472527472527475"/>
        </c:manualLayout>
      </c:layout>
      <c:barChart>
        <c:barDir val="col"/>
        <c:grouping val="stacked"/>
        <c:varyColors val="0"/>
        <c:ser>
          <c:idx val="0"/>
          <c:order val="0"/>
          <c:tx>
            <c:strRef>
              <c:f>Sheet1!$A$2</c:f>
              <c:strCache>
                <c:ptCount val="1"/>
                <c:pt idx="0">
                  <c:v>Κέρδη</c:v>
                </c:pt>
              </c:strCache>
            </c:strRef>
          </c:tx>
          <c:spPr>
            <a:solidFill>
              <a:srgbClr val="021342"/>
            </a:solidFill>
            <a:ln w="13959">
              <a:solidFill>
                <a:srgbClr val="FFFFFF"/>
              </a:solidFill>
              <a:prstDash val="solid"/>
            </a:ln>
          </c:spPr>
          <c:invertIfNegative val="0"/>
          <c:dLbls>
            <c:dLbl>
              <c:idx val="0"/>
              <c:layout>
                <c:manualLayout>
                  <c:x val="2.1078993603704361E-3"/>
                  <c:y val="-0.33488512163591494"/>
                </c:manualLayout>
              </c:layout>
              <c:tx>
                <c:rich>
                  <a:bodyPr/>
                  <a:lstStyle/>
                  <a:p>
                    <a:pPr>
                      <a:defRPr sz="1100" b="1" i="0" u="none" strike="noStrike" baseline="0">
                        <a:solidFill>
                          <a:srgbClr val="021342"/>
                        </a:solidFill>
                        <a:latin typeface="Eurobank Sans" panose="02000503000000020004" pitchFamily="2" charset="0"/>
                        <a:ea typeface="Arial"/>
                        <a:cs typeface="Arial"/>
                      </a:defRPr>
                    </a:pPr>
                    <a:r>
                      <a:rPr lang="en-US"/>
                      <a:t>3,1</a:t>
                    </a:r>
                  </a:p>
                </c:rich>
              </c:tx>
              <c:numFmt formatCode="0.0" sourceLinked="0"/>
              <c:spPr>
                <a:noFill/>
                <a:ln w="27919">
                  <a:noFill/>
                </a:ln>
              </c:sp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5D3-4034-99EA-8CC55ED2FB29}"/>
                </c:ext>
              </c:extLst>
            </c:dLbl>
            <c:dLbl>
              <c:idx val="1"/>
              <c:layout>
                <c:manualLayout>
                  <c:x val="-5.4555373704309879E-3"/>
                  <c:y val="-0.3214023387001998"/>
                </c:manualLayout>
              </c:layout>
              <c:tx>
                <c:rich>
                  <a:bodyPr/>
                  <a:lstStyle/>
                  <a:p>
                    <a:r>
                      <a:rPr lang="en-US"/>
                      <a:t>2,8</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5D3-4034-99EA-8CC55ED2FB29}"/>
                </c:ext>
              </c:extLst>
            </c:dLbl>
            <c:dLbl>
              <c:idx val="3"/>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9,0</a:t>
                    </a:r>
                  </a:p>
                </c:rich>
              </c:tx>
              <c:numFmt formatCode="0.0" sourceLinked="0"/>
              <c:spPr>
                <a:noFill/>
                <a:ln w="27919">
                  <a:noFill/>
                </a:ln>
              </c:spPr>
              <c:dLblPos val="in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5D3-4034-99EA-8CC55ED2FB29}"/>
                </c:ext>
              </c:extLst>
            </c:dLbl>
            <c:dLbl>
              <c:idx val="4"/>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7,9</a:t>
                    </a:r>
                  </a:p>
                </c:rich>
              </c:tx>
              <c:numFmt formatCode="0.0" sourceLinked="0"/>
              <c:spPr>
                <a:noFill/>
                <a:ln w="27919">
                  <a:noFill/>
                </a:ln>
              </c:spPr>
              <c:dLblPos val="ct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5D3-4034-99EA-8CC55ED2FB29}"/>
                </c:ext>
              </c:extLst>
            </c:dLbl>
            <c:numFmt formatCode="0.0" sourceLinked="0"/>
            <c:spPr>
              <a:noFill/>
              <a:ln w="27919">
                <a:noFill/>
              </a:ln>
            </c:spPr>
            <c:txPr>
              <a:bodyPr wrap="square" lIns="38100" tIns="19050" rIns="38100" bIns="19050" anchor="ctr">
                <a:spAutoFit/>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Α΄ Εξαμ. 2024</c:v>
                </c:pt>
                <c:pt idx="1">
                  <c:v>Α΄ Εξαμ. 2025</c:v>
                </c:pt>
              </c:strCache>
            </c:strRef>
          </c:cat>
          <c:val>
            <c:numRef>
              <c:f>Sheet1!$B$2:$C$2</c:f>
              <c:numCache>
                <c:formatCode>General</c:formatCode>
                <c:ptCount val="2"/>
                <c:pt idx="0">
                  <c:v>3.1</c:v>
                </c:pt>
                <c:pt idx="1">
                  <c:v>2.8</c:v>
                </c:pt>
              </c:numCache>
            </c:numRef>
          </c:val>
          <c:extLst>
            <c:ext xmlns:c16="http://schemas.microsoft.com/office/drawing/2014/chart" uri="{C3380CC4-5D6E-409C-BE32-E72D297353CC}">
              <c16:uniqueId val="{00000004-05D3-4034-99EA-8CC55ED2FB29}"/>
            </c:ext>
          </c:extLst>
        </c:ser>
        <c:ser>
          <c:idx val="1"/>
          <c:order val="1"/>
          <c:tx>
            <c:strRef>
              <c:f>Sheet1!$A$3</c:f>
              <c:strCache>
                <c:ptCount val="1"/>
              </c:strCache>
            </c:strRef>
          </c:tx>
          <c:spPr>
            <a:solidFill>
              <a:srgbClr val="993366"/>
            </a:solidFill>
            <a:ln w="13959">
              <a:solidFill>
                <a:srgbClr val="000000"/>
              </a:solidFill>
              <a:prstDash val="solid"/>
            </a:ln>
          </c:spPr>
          <c:invertIfNegative val="0"/>
          <c:dPt>
            <c:idx val="4"/>
            <c:invertIfNegative val="0"/>
            <c:bubble3D val="0"/>
            <c:spPr>
              <a:solidFill>
                <a:srgbClr val="CCCCFF"/>
              </a:solidFill>
              <a:ln w="27919">
                <a:noFill/>
              </a:ln>
            </c:spPr>
            <c:extLst>
              <c:ext xmlns:c16="http://schemas.microsoft.com/office/drawing/2014/chart" uri="{C3380CC4-5D6E-409C-BE32-E72D297353CC}">
                <c16:uniqueId val="{00000006-05D3-4034-99EA-8CC55ED2FB29}"/>
              </c:ext>
            </c:extLst>
          </c:dPt>
          <c:cat>
            <c:strRef>
              <c:f>Sheet1!$B$1:$C$1</c:f>
              <c:strCache>
                <c:ptCount val="2"/>
                <c:pt idx="0">
                  <c:v>Α΄ Εξαμ. 2024</c:v>
                </c:pt>
                <c:pt idx="1">
                  <c:v>Α΄ Εξαμ. 2025</c:v>
                </c:pt>
              </c:strCache>
            </c:strRef>
          </c:cat>
          <c:val>
            <c:numRef>
              <c:f>Sheet1!$B$3:$C$3</c:f>
              <c:numCache>
                <c:formatCode>General</c:formatCode>
                <c:ptCount val="2"/>
              </c:numCache>
            </c:numRef>
          </c:val>
          <c:extLst>
            <c:ext xmlns:c16="http://schemas.microsoft.com/office/drawing/2014/chart" uri="{C3380CC4-5D6E-409C-BE32-E72D297353CC}">
              <c16:uniqueId val="{00000007-05D3-4034-99EA-8CC55ED2FB29}"/>
            </c:ext>
          </c:extLst>
        </c:ser>
        <c:ser>
          <c:idx val="2"/>
          <c:order val="2"/>
          <c:tx>
            <c:strRef>
              <c:f>Sheet1!$A$4</c:f>
              <c:strCache>
                <c:ptCount val="1"/>
              </c:strCache>
            </c:strRef>
          </c:tx>
          <c:spPr>
            <a:solidFill>
              <a:srgbClr val="FFFFCC"/>
            </a:solidFill>
            <a:ln w="13959">
              <a:solidFill>
                <a:srgbClr val="000000"/>
              </a:solidFill>
              <a:prstDash val="solid"/>
            </a:ln>
          </c:spPr>
          <c:invertIfNegative val="0"/>
          <c:cat>
            <c:strRef>
              <c:f>Sheet1!$B$1:$C$1</c:f>
              <c:strCache>
                <c:ptCount val="2"/>
                <c:pt idx="0">
                  <c:v>Α΄ Εξαμ. 2024</c:v>
                </c:pt>
                <c:pt idx="1">
                  <c:v>Α΄ Εξαμ. 2025</c:v>
                </c:pt>
              </c:strCache>
            </c:strRef>
          </c:cat>
          <c:val>
            <c:numRef>
              <c:f>Sheet1!$B$4:$C$4</c:f>
              <c:numCache>
                <c:formatCode>General</c:formatCode>
                <c:ptCount val="2"/>
              </c:numCache>
            </c:numRef>
          </c:val>
          <c:extLst>
            <c:ext xmlns:c16="http://schemas.microsoft.com/office/drawing/2014/chart" uri="{C3380CC4-5D6E-409C-BE32-E72D297353CC}">
              <c16:uniqueId val="{00000008-05D3-4034-99EA-8CC55ED2FB29}"/>
            </c:ext>
          </c:extLst>
        </c:ser>
        <c:ser>
          <c:idx val="3"/>
          <c:order val="3"/>
          <c:tx>
            <c:strRef>
              <c:f>Sheet1!$A$5</c:f>
              <c:strCache>
                <c:ptCount val="1"/>
              </c:strCache>
            </c:strRef>
          </c:tx>
          <c:spPr>
            <a:solidFill>
              <a:srgbClr val="CCFFFF"/>
            </a:solidFill>
            <a:ln w="13959">
              <a:solidFill>
                <a:srgbClr val="000000"/>
              </a:solidFill>
              <a:prstDash val="solid"/>
            </a:ln>
          </c:spPr>
          <c:invertIfNegative val="0"/>
          <c:cat>
            <c:strRef>
              <c:f>Sheet1!$B$1:$C$1</c:f>
              <c:strCache>
                <c:ptCount val="2"/>
                <c:pt idx="0">
                  <c:v>Α΄ Εξαμ. 2024</c:v>
                </c:pt>
                <c:pt idx="1">
                  <c:v>Α΄ Εξαμ. 2025</c:v>
                </c:pt>
              </c:strCache>
            </c:strRef>
          </c:cat>
          <c:val>
            <c:numRef>
              <c:f>Sheet1!$B$5:$C$5</c:f>
              <c:numCache>
                <c:formatCode>General</c:formatCode>
                <c:ptCount val="2"/>
              </c:numCache>
            </c:numRef>
          </c:val>
          <c:extLst>
            <c:ext xmlns:c16="http://schemas.microsoft.com/office/drawing/2014/chart" uri="{C3380CC4-5D6E-409C-BE32-E72D297353CC}">
              <c16:uniqueId val="{00000009-05D3-4034-99EA-8CC55ED2FB29}"/>
            </c:ext>
          </c:extLst>
        </c:ser>
        <c:dLbls>
          <c:showLegendKey val="0"/>
          <c:showVal val="0"/>
          <c:showCatName val="0"/>
          <c:showSerName val="0"/>
          <c:showPercent val="0"/>
          <c:showBubbleSize val="0"/>
        </c:dLbls>
        <c:gapWidth val="110"/>
        <c:overlap val="100"/>
        <c:axId val="198311128"/>
        <c:axId val="1"/>
      </c:barChart>
      <c:catAx>
        <c:axId val="198311128"/>
        <c:scaling>
          <c:orientation val="minMax"/>
        </c:scaling>
        <c:delete val="0"/>
        <c:axPos val="b"/>
        <c:numFmt formatCode="General" sourceLinked="1"/>
        <c:majorTickMark val="out"/>
        <c:minorTickMark val="none"/>
        <c:tickLblPos val="nextTo"/>
        <c:spPr>
          <a:ln w="13959">
            <a:solidFill>
              <a:srgbClr val="021342"/>
            </a:solidFill>
            <a:prstDash val="solid"/>
          </a:ln>
        </c:spPr>
        <c:txPr>
          <a:bodyPr rot="0" vert="horz"/>
          <a:lstStyle/>
          <a:p>
            <a:pPr>
              <a:defRPr sz="1100" b="1" i="0" u="none" strike="noStrike" baseline="0">
                <a:solidFill>
                  <a:srgbClr val="EA002A"/>
                </a:solidFill>
                <a:latin typeface="Eurobank Sans" panose="02000503000000020004" pitchFamily="2" charset="0"/>
                <a:ea typeface="Arial"/>
                <a:cs typeface="Arial"/>
              </a:defRPr>
            </a:pPr>
            <a:endParaRPr lang="el-GR"/>
          </a:p>
        </c:txPr>
        <c:crossAx val="1"/>
        <c:crossesAt val="0"/>
        <c:auto val="1"/>
        <c:lblAlgn val="ctr"/>
        <c:lblOffset val="100"/>
        <c:tickLblSkip val="1"/>
        <c:tickMarkSkip val="1"/>
        <c:noMultiLvlLbl val="0"/>
      </c:catAx>
      <c:valAx>
        <c:axId val="1"/>
        <c:scaling>
          <c:orientation val="minMax"/>
          <c:max val="4"/>
          <c:min val="0"/>
        </c:scaling>
        <c:delete val="1"/>
        <c:axPos val="l"/>
        <c:numFmt formatCode="General" sourceLinked="1"/>
        <c:majorTickMark val="out"/>
        <c:minorTickMark val="none"/>
        <c:tickLblPos val="nextTo"/>
        <c:crossAx val="198311128"/>
        <c:crosses val="autoZero"/>
        <c:crossBetween val="between"/>
        <c:majorUnit val="10"/>
        <c:minorUnit val="10"/>
      </c:valAx>
      <c:spPr>
        <a:noFill/>
        <a:ln w="27919">
          <a:noFill/>
        </a:ln>
      </c:spPr>
    </c:plotArea>
    <c:plotVisOnly val="1"/>
    <c:dispBlanksAs val="gap"/>
    <c:showDLblsOverMax val="0"/>
  </c:chart>
  <c:spPr>
    <a:noFill/>
    <a:ln>
      <a:noFill/>
    </a:ln>
  </c:spPr>
  <c:txPr>
    <a:bodyPr/>
    <a:lstStyle/>
    <a:p>
      <a:pPr>
        <a:defRPr sz="495" b="1" i="0" u="none" strike="noStrike" baseline="0">
          <a:solidFill>
            <a:srgbClr val="000000"/>
          </a:solidFill>
          <a:latin typeface="Arial"/>
          <a:ea typeface="Arial"/>
          <a:cs typeface="Arial"/>
        </a:defRPr>
      </a:pPr>
      <a:endParaRPr lang="el-G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6882952922023985E-2"/>
          <c:y val="6.5934082117540788E-2"/>
          <c:w val="0.9375"/>
          <c:h val="0.77472527472527475"/>
        </c:manualLayout>
      </c:layout>
      <c:barChart>
        <c:barDir val="col"/>
        <c:grouping val="stacked"/>
        <c:varyColors val="0"/>
        <c:ser>
          <c:idx val="0"/>
          <c:order val="0"/>
          <c:tx>
            <c:strRef>
              <c:f>Sheet1!$A$2</c:f>
              <c:strCache>
                <c:ptCount val="1"/>
                <c:pt idx="0">
                  <c:v>Κέρδη</c:v>
                </c:pt>
              </c:strCache>
            </c:strRef>
          </c:tx>
          <c:spPr>
            <a:solidFill>
              <a:srgbClr val="021342"/>
            </a:solidFill>
            <a:ln w="13910">
              <a:solidFill>
                <a:srgbClr val="FFFFFF"/>
              </a:solidFill>
              <a:prstDash val="solid"/>
            </a:ln>
          </c:spPr>
          <c:invertIfNegative val="0"/>
          <c:dLbls>
            <c:dLbl>
              <c:idx val="0"/>
              <c:layout>
                <c:manualLayout>
                  <c:x val="-2.5817026036302425E-3"/>
                  <c:y val="-0.30862018182889234"/>
                </c:manualLayout>
              </c:layout>
              <c:tx>
                <c:rich>
                  <a:bodyPr/>
                  <a:lstStyle/>
                  <a:p>
                    <a:pPr>
                      <a:defRPr sz="1100" b="1" i="0" u="none" strike="noStrike" baseline="0">
                        <a:solidFill>
                          <a:srgbClr val="021342"/>
                        </a:solidFill>
                        <a:latin typeface="Eurobank Sans" panose="02000503000000020004" pitchFamily="2" charset="0"/>
                        <a:ea typeface="Arial"/>
                        <a:cs typeface="Arial"/>
                      </a:defRPr>
                    </a:pPr>
                    <a:r>
                      <a:rPr lang="en-US"/>
                      <a:t>15,5</a:t>
                    </a:r>
                  </a:p>
                </c:rich>
              </c:tx>
              <c:numFmt formatCode="0.0" sourceLinked="0"/>
              <c:spPr>
                <a:noFill/>
                <a:ln w="27819">
                  <a:noFill/>
                </a:ln>
              </c:sp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D5F-4C16-959A-1E1079E3137C}"/>
                </c:ext>
              </c:extLst>
            </c:dLbl>
            <c:dLbl>
              <c:idx val="1"/>
              <c:layout>
                <c:manualLayout>
                  <c:x val="0"/>
                  <c:y val="-0.38096049246961339"/>
                </c:manualLayout>
              </c:layout>
              <c:tx>
                <c:rich>
                  <a:bodyPr/>
                  <a:lstStyle/>
                  <a:p>
                    <a:r>
                      <a:rPr lang="en-US"/>
                      <a:t>19,8</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D5F-4C16-959A-1E1079E3137C}"/>
                </c:ext>
              </c:extLst>
            </c:dLbl>
            <c:dLbl>
              <c:idx val="3"/>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9,0</a:t>
                    </a:r>
                  </a:p>
                </c:rich>
              </c:tx>
              <c:numFmt formatCode="0.0" sourceLinked="0"/>
              <c:spPr>
                <a:noFill/>
                <a:ln w="27819">
                  <a:noFill/>
                </a:ln>
              </c:spPr>
              <c:dLblPos val="in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D5F-4C16-959A-1E1079E3137C}"/>
                </c:ext>
              </c:extLst>
            </c:dLbl>
            <c:dLbl>
              <c:idx val="4"/>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7,9</a:t>
                    </a:r>
                  </a:p>
                </c:rich>
              </c:tx>
              <c:numFmt formatCode="0.0" sourceLinked="0"/>
              <c:spPr>
                <a:noFill/>
                <a:ln w="27819">
                  <a:noFill/>
                </a:ln>
              </c:spPr>
              <c:dLblPos val="ct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D5F-4C16-959A-1E1079E3137C}"/>
                </c:ext>
              </c:extLst>
            </c:dLbl>
            <c:numFmt formatCode="0.0" sourceLinked="0"/>
            <c:spPr>
              <a:noFill/>
              <a:ln w="27819">
                <a:noFill/>
              </a:ln>
            </c:spPr>
            <c:txPr>
              <a:bodyPr wrap="square" lIns="38100" tIns="19050" rIns="38100" bIns="19050" anchor="ctr">
                <a:spAutoFit/>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CET1</c:v>
                </c:pt>
                <c:pt idx="1">
                  <c:v>CAD</c:v>
                </c:pt>
              </c:strCache>
            </c:strRef>
          </c:cat>
          <c:val>
            <c:numRef>
              <c:f>Sheet1!$B$2:$C$2</c:f>
              <c:numCache>
                <c:formatCode>General</c:formatCode>
                <c:ptCount val="2"/>
                <c:pt idx="0">
                  <c:v>15.5</c:v>
                </c:pt>
                <c:pt idx="1">
                  <c:v>19.8</c:v>
                </c:pt>
              </c:numCache>
            </c:numRef>
          </c:val>
          <c:extLst>
            <c:ext xmlns:c16="http://schemas.microsoft.com/office/drawing/2014/chart" uri="{C3380CC4-5D6E-409C-BE32-E72D297353CC}">
              <c16:uniqueId val="{00000004-4D5F-4C16-959A-1E1079E3137C}"/>
            </c:ext>
          </c:extLst>
        </c:ser>
        <c:ser>
          <c:idx val="1"/>
          <c:order val="1"/>
          <c:tx>
            <c:strRef>
              <c:f>Sheet1!$A$3</c:f>
              <c:strCache>
                <c:ptCount val="1"/>
              </c:strCache>
            </c:strRef>
          </c:tx>
          <c:spPr>
            <a:solidFill>
              <a:srgbClr val="993366"/>
            </a:solidFill>
            <a:ln w="13910">
              <a:solidFill>
                <a:srgbClr val="000000"/>
              </a:solidFill>
              <a:prstDash val="solid"/>
            </a:ln>
          </c:spPr>
          <c:invertIfNegative val="0"/>
          <c:dPt>
            <c:idx val="4"/>
            <c:invertIfNegative val="0"/>
            <c:bubble3D val="0"/>
            <c:spPr>
              <a:solidFill>
                <a:srgbClr val="CCCCFF"/>
              </a:solidFill>
              <a:ln w="27819">
                <a:noFill/>
              </a:ln>
            </c:spPr>
            <c:extLst>
              <c:ext xmlns:c16="http://schemas.microsoft.com/office/drawing/2014/chart" uri="{C3380CC4-5D6E-409C-BE32-E72D297353CC}">
                <c16:uniqueId val="{00000006-4D5F-4C16-959A-1E1079E3137C}"/>
              </c:ext>
            </c:extLst>
          </c:dPt>
          <c:cat>
            <c:strRef>
              <c:f>Sheet1!$B$1:$C$1</c:f>
              <c:strCache>
                <c:ptCount val="2"/>
                <c:pt idx="0">
                  <c:v>CET1</c:v>
                </c:pt>
                <c:pt idx="1">
                  <c:v>CAD</c:v>
                </c:pt>
              </c:strCache>
            </c:strRef>
          </c:cat>
          <c:val>
            <c:numRef>
              <c:f>Sheet1!$B$3:$C$3</c:f>
              <c:numCache>
                <c:formatCode>General</c:formatCode>
                <c:ptCount val="2"/>
              </c:numCache>
            </c:numRef>
          </c:val>
          <c:extLst>
            <c:ext xmlns:c16="http://schemas.microsoft.com/office/drawing/2014/chart" uri="{C3380CC4-5D6E-409C-BE32-E72D297353CC}">
              <c16:uniqueId val="{00000007-4D5F-4C16-959A-1E1079E3137C}"/>
            </c:ext>
          </c:extLst>
        </c:ser>
        <c:ser>
          <c:idx val="2"/>
          <c:order val="2"/>
          <c:tx>
            <c:strRef>
              <c:f>Sheet1!$A$4</c:f>
              <c:strCache>
                <c:ptCount val="1"/>
              </c:strCache>
            </c:strRef>
          </c:tx>
          <c:spPr>
            <a:solidFill>
              <a:srgbClr val="FFFFCC"/>
            </a:solidFill>
            <a:ln w="13910">
              <a:solidFill>
                <a:srgbClr val="000000"/>
              </a:solidFill>
              <a:prstDash val="solid"/>
            </a:ln>
          </c:spPr>
          <c:invertIfNegative val="0"/>
          <c:cat>
            <c:strRef>
              <c:f>Sheet1!$B$1:$C$1</c:f>
              <c:strCache>
                <c:ptCount val="2"/>
                <c:pt idx="0">
                  <c:v>CET1</c:v>
                </c:pt>
                <c:pt idx="1">
                  <c:v>CAD</c:v>
                </c:pt>
              </c:strCache>
            </c:strRef>
          </c:cat>
          <c:val>
            <c:numRef>
              <c:f>Sheet1!$B$4:$C$4</c:f>
              <c:numCache>
                <c:formatCode>General</c:formatCode>
                <c:ptCount val="2"/>
              </c:numCache>
            </c:numRef>
          </c:val>
          <c:extLst>
            <c:ext xmlns:c16="http://schemas.microsoft.com/office/drawing/2014/chart" uri="{C3380CC4-5D6E-409C-BE32-E72D297353CC}">
              <c16:uniqueId val="{00000008-4D5F-4C16-959A-1E1079E3137C}"/>
            </c:ext>
          </c:extLst>
        </c:ser>
        <c:ser>
          <c:idx val="3"/>
          <c:order val="3"/>
          <c:tx>
            <c:strRef>
              <c:f>Sheet1!$A$5</c:f>
              <c:strCache>
                <c:ptCount val="1"/>
              </c:strCache>
            </c:strRef>
          </c:tx>
          <c:spPr>
            <a:solidFill>
              <a:srgbClr val="CCFFFF"/>
            </a:solidFill>
            <a:ln w="13910">
              <a:solidFill>
                <a:srgbClr val="000000"/>
              </a:solidFill>
              <a:prstDash val="solid"/>
            </a:ln>
          </c:spPr>
          <c:invertIfNegative val="0"/>
          <c:cat>
            <c:strRef>
              <c:f>Sheet1!$B$1:$C$1</c:f>
              <c:strCache>
                <c:ptCount val="2"/>
                <c:pt idx="0">
                  <c:v>CET1</c:v>
                </c:pt>
                <c:pt idx="1">
                  <c:v>CAD</c:v>
                </c:pt>
              </c:strCache>
            </c:strRef>
          </c:cat>
          <c:val>
            <c:numRef>
              <c:f>Sheet1!$B$5:$C$5</c:f>
              <c:numCache>
                <c:formatCode>General</c:formatCode>
                <c:ptCount val="2"/>
              </c:numCache>
            </c:numRef>
          </c:val>
          <c:extLst>
            <c:ext xmlns:c16="http://schemas.microsoft.com/office/drawing/2014/chart" uri="{C3380CC4-5D6E-409C-BE32-E72D297353CC}">
              <c16:uniqueId val="{00000009-4D5F-4C16-959A-1E1079E3137C}"/>
            </c:ext>
          </c:extLst>
        </c:ser>
        <c:dLbls>
          <c:showLegendKey val="0"/>
          <c:showVal val="0"/>
          <c:showCatName val="0"/>
          <c:showSerName val="0"/>
          <c:showPercent val="0"/>
          <c:showBubbleSize val="0"/>
        </c:dLbls>
        <c:gapWidth val="110"/>
        <c:overlap val="100"/>
        <c:axId val="196619088"/>
        <c:axId val="1"/>
      </c:barChart>
      <c:catAx>
        <c:axId val="196619088"/>
        <c:scaling>
          <c:orientation val="minMax"/>
        </c:scaling>
        <c:delete val="0"/>
        <c:axPos val="b"/>
        <c:numFmt formatCode="General" sourceLinked="1"/>
        <c:majorTickMark val="out"/>
        <c:minorTickMark val="none"/>
        <c:tickLblPos val="nextTo"/>
        <c:spPr>
          <a:ln w="13910">
            <a:solidFill>
              <a:srgbClr val="021342"/>
            </a:solidFill>
            <a:prstDash val="solid"/>
          </a:ln>
        </c:spPr>
        <c:txPr>
          <a:bodyPr rot="0" vert="horz"/>
          <a:lstStyle/>
          <a:p>
            <a:pPr>
              <a:defRPr sz="1100" b="1" i="0" u="none" strike="noStrike" baseline="0">
                <a:solidFill>
                  <a:srgbClr val="EA002A"/>
                </a:solidFill>
                <a:latin typeface="Eurobank Sans" panose="02000503000000020004" pitchFamily="2" charset="0"/>
                <a:ea typeface="Arial"/>
                <a:cs typeface="Arial"/>
              </a:defRPr>
            </a:pPr>
            <a:endParaRPr lang="el-GR"/>
          </a:p>
        </c:txPr>
        <c:crossAx val="1"/>
        <c:crossesAt val="0"/>
        <c:auto val="1"/>
        <c:lblAlgn val="ctr"/>
        <c:lblOffset val="100"/>
        <c:tickLblSkip val="1"/>
        <c:tickMarkSkip val="1"/>
        <c:noMultiLvlLbl val="0"/>
      </c:catAx>
      <c:valAx>
        <c:axId val="1"/>
        <c:scaling>
          <c:orientation val="minMax"/>
          <c:max val="22"/>
          <c:min val="0"/>
        </c:scaling>
        <c:delete val="1"/>
        <c:axPos val="l"/>
        <c:numFmt formatCode="General" sourceLinked="1"/>
        <c:majorTickMark val="out"/>
        <c:minorTickMark val="none"/>
        <c:tickLblPos val="nextTo"/>
        <c:crossAx val="196619088"/>
        <c:crosses val="autoZero"/>
        <c:crossBetween val="between"/>
        <c:majorUnit val="10"/>
        <c:minorUnit val="10"/>
      </c:valAx>
      <c:spPr>
        <a:noFill/>
        <a:ln w="27819">
          <a:noFill/>
        </a:ln>
      </c:spPr>
    </c:plotArea>
    <c:plotVisOnly val="1"/>
    <c:dispBlanksAs val="gap"/>
    <c:showDLblsOverMax val="0"/>
  </c:chart>
  <c:spPr>
    <a:noFill/>
    <a:ln>
      <a:noFill/>
    </a:ln>
  </c:spPr>
  <c:txPr>
    <a:bodyPr/>
    <a:lstStyle/>
    <a:p>
      <a:pPr>
        <a:defRPr sz="493" b="1" i="0" u="none" strike="noStrike" baseline="0">
          <a:solidFill>
            <a:srgbClr val="000000"/>
          </a:solidFill>
          <a:latin typeface="Arial"/>
          <a:ea typeface="Arial"/>
          <a:cs typeface="Arial"/>
        </a:defRPr>
      </a:pPr>
      <a:endParaRPr lang="el-G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7097290804751101E-2"/>
          <c:y val="5.9877335139285656E-2"/>
          <c:w val="0.9375"/>
          <c:h val="0.77472527472527475"/>
        </c:manualLayout>
      </c:layout>
      <c:barChart>
        <c:barDir val="col"/>
        <c:grouping val="stacked"/>
        <c:varyColors val="0"/>
        <c:ser>
          <c:idx val="0"/>
          <c:order val="0"/>
          <c:tx>
            <c:strRef>
              <c:f>Sheet1!$A$2</c:f>
              <c:strCache>
                <c:ptCount val="1"/>
                <c:pt idx="0">
                  <c:v>Κέρδη</c:v>
                </c:pt>
              </c:strCache>
            </c:strRef>
          </c:tx>
          <c:spPr>
            <a:solidFill>
              <a:srgbClr val="021342"/>
            </a:solidFill>
            <a:ln w="13949">
              <a:solidFill>
                <a:srgbClr val="FFFFFF"/>
              </a:solidFill>
              <a:prstDash val="solid"/>
            </a:ln>
          </c:spPr>
          <c:invertIfNegative val="0"/>
          <c:dLbls>
            <c:dLbl>
              <c:idx val="0"/>
              <c:layout>
                <c:manualLayout>
                  <c:x val="-2.6940700209084293E-3"/>
                  <c:y val="-0.37860709567572981"/>
                </c:manualLayout>
              </c:layout>
              <c:tx>
                <c:rich>
                  <a:bodyPr/>
                  <a:lstStyle/>
                  <a:p>
                    <a:pPr>
                      <a:defRPr sz="1100" b="1" i="0" u="none" strike="noStrike" baseline="0">
                        <a:solidFill>
                          <a:srgbClr val="021342"/>
                        </a:solidFill>
                        <a:latin typeface="Eurobank Sans" panose="02000503000000020004" pitchFamily="2" charset="0"/>
                        <a:ea typeface="Arial"/>
                        <a:cs typeface="Arial"/>
                      </a:defRPr>
                    </a:pPr>
                    <a:r>
                      <a:rPr lang="en-US"/>
                      <a:t>18,5</a:t>
                    </a:r>
                  </a:p>
                </c:rich>
              </c:tx>
              <c:numFmt formatCode="0.0" sourceLinked="0"/>
              <c:spPr>
                <a:noFill/>
                <a:ln w="27899">
                  <a:noFill/>
                </a:ln>
              </c:sp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E39-4140-B490-435905C55204}"/>
                </c:ext>
              </c:extLst>
            </c:dLbl>
            <c:dLbl>
              <c:idx val="1"/>
              <c:layout>
                <c:manualLayout>
                  <c:x val="0"/>
                  <c:y val="-0.32926072005990165"/>
                </c:manualLayout>
              </c:layout>
              <c:tx>
                <c:rich>
                  <a:bodyPr/>
                  <a:lstStyle/>
                  <a:p>
                    <a:r>
                      <a:rPr lang="en-US"/>
                      <a:t>16,6</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E39-4140-B490-435905C55204}"/>
                </c:ext>
              </c:extLst>
            </c:dLbl>
            <c:dLbl>
              <c:idx val="3"/>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9,0</a:t>
                    </a:r>
                  </a:p>
                </c:rich>
              </c:tx>
              <c:numFmt formatCode="0.0" sourceLinked="0"/>
              <c:spPr>
                <a:noFill/>
                <a:ln w="27899">
                  <a:noFill/>
                </a:ln>
              </c:spPr>
              <c:dLblPos val="in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2E39-4140-B490-435905C55204}"/>
                </c:ext>
              </c:extLst>
            </c:dLbl>
            <c:dLbl>
              <c:idx val="4"/>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7,9</a:t>
                    </a:r>
                  </a:p>
                </c:rich>
              </c:tx>
              <c:numFmt formatCode="0.0" sourceLinked="0"/>
              <c:spPr>
                <a:noFill/>
                <a:ln w="27899">
                  <a:noFill/>
                </a:ln>
              </c:spPr>
              <c:dLblPos val="ct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E39-4140-B490-435905C55204}"/>
                </c:ext>
              </c:extLst>
            </c:dLbl>
            <c:numFmt formatCode="0.0" sourceLinked="0"/>
            <c:spPr>
              <a:noFill/>
              <a:ln w="27899">
                <a:noFill/>
              </a:ln>
            </c:spPr>
            <c:txPr>
              <a:bodyPr wrap="square" lIns="38100" tIns="19050" rIns="38100" bIns="19050" anchor="ctr">
                <a:spAutoFit/>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Α΄ Εξαμ. 2024</c:v>
                </c:pt>
                <c:pt idx="1">
                  <c:v>Α΄ Εξαμ. 2025</c:v>
                </c:pt>
              </c:strCache>
            </c:strRef>
          </c:cat>
          <c:val>
            <c:numRef>
              <c:f>Sheet1!$B$2:$C$2</c:f>
              <c:numCache>
                <c:formatCode>General</c:formatCode>
                <c:ptCount val="2"/>
                <c:pt idx="0">
                  <c:v>18.5</c:v>
                </c:pt>
                <c:pt idx="1">
                  <c:v>16.600000000000001</c:v>
                </c:pt>
              </c:numCache>
            </c:numRef>
          </c:val>
          <c:extLst>
            <c:ext xmlns:c16="http://schemas.microsoft.com/office/drawing/2014/chart" uri="{C3380CC4-5D6E-409C-BE32-E72D297353CC}">
              <c16:uniqueId val="{00000004-2E39-4140-B490-435905C55204}"/>
            </c:ext>
          </c:extLst>
        </c:ser>
        <c:ser>
          <c:idx val="1"/>
          <c:order val="1"/>
          <c:tx>
            <c:strRef>
              <c:f>Sheet1!$A$3</c:f>
              <c:strCache>
                <c:ptCount val="1"/>
              </c:strCache>
            </c:strRef>
          </c:tx>
          <c:spPr>
            <a:solidFill>
              <a:srgbClr val="993366"/>
            </a:solidFill>
            <a:ln w="13949">
              <a:solidFill>
                <a:srgbClr val="000000"/>
              </a:solidFill>
              <a:prstDash val="solid"/>
            </a:ln>
          </c:spPr>
          <c:invertIfNegative val="0"/>
          <c:dPt>
            <c:idx val="4"/>
            <c:invertIfNegative val="0"/>
            <c:bubble3D val="0"/>
            <c:spPr>
              <a:solidFill>
                <a:srgbClr val="CCCCFF"/>
              </a:solidFill>
              <a:ln w="27899">
                <a:noFill/>
              </a:ln>
            </c:spPr>
            <c:extLst>
              <c:ext xmlns:c16="http://schemas.microsoft.com/office/drawing/2014/chart" uri="{C3380CC4-5D6E-409C-BE32-E72D297353CC}">
                <c16:uniqueId val="{00000006-2E39-4140-B490-435905C55204}"/>
              </c:ext>
            </c:extLst>
          </c:dPt>
          <c:cat>
            <c:strRef>
              <c:f>Sheet1!$B$1:$C$1</c:f>
              <c:strCache>
                <c:ptCount val="2"/>
                <c:pt idx="0">
                  <c:v>Α΄ Εξαμ. 2024</c:v>
                </c:pt>
                <c:pt idx="1">
                  <c:v>Α΄ Εξαμ. 2025</c:v>
                </c:pt>
              </c:strCache>
            </c:strRef>
          </c:cat>
          <c:val>
            <c:numRef>
              <c:f>Sheet1!$B$3:$C$3</c:f>
              <c:numCache>
                <c:formatCode>General</c:formatCode>
                <c:ptCount val="2"/>
              </c:numCache>
            </c:numRef>
          </c:val>
          <c:extLst>
            <c:ext xmlns:c16="http://schemas.microsoft.com/office/drawing/2014/chart" uri="{C3380CC4-5D6E-409C-BE32-E72D297353CC}">
              <c16:uniqueId val="{00000007-2E39-4140-B490-435905C55204}"/>
            </c:ext>
          </c:extLst>
        </c:ser>
        <c:ser>
          <c:idx val="2"/>
          <c:order val="2"/>
          <c:tx>
            <c:strRef>
              <c:f>Sheet1!$A$4</c:f>
              <c:strCache>
                <c:ptCount val="1"/>
              </c:strCache>
            </c:strRef>
          </c:tx>
          <c:spPr>
            <a:solidFill>
              <a:srgbClr val="FFFFCC"/>
            </a:solidFill>
            <a:ln w="13949">
              <a:solidFill>
                <a:srgbClr val="000000"/>
              </a:solidFill>
              <a:prstDash val="solid"/>
            </a:ln>
          </c:spPr>
          <c:invertIfNegative val="0"/>
          <c:cat>
            <c:strRef>
              <c:f>Sheet1!$B$1:$C$1</c:f>
              <c:strCache>
                <c:ptCount val="2"/>
                <c:pt idx="0">
                  <c:v>Α΄ Εξαμ. 2024</c:v>
                </c:pt>
                <c:pt idx="1">
                  <c:v>Α΄ Εξαμ. 2025</c:v>
                </c:pt>
              </c:strCache>
            </c:strRef>
          </c:cat>
          <c:val>
            <c:numRef>
              <c:f>Sheet1!$B$4:$C$4</c:f>
              <c:numCache>
                <c:formatCode>General</c:formatCode>
                <c:ptCount val="2"/>
              </c:numCache>
            </c:numRef>
          </c:val>
          <c:extLst>
            <c:ext xmlns:c16="http://schemas.microsoft.com/office/drawing/2014/chart" uri="{C3380CC4-5D6E-409C-BE32-E72D297353CC}">
              <c16:uniqueId val="{00000008-2E39-4140-B490-435905C55204}"/>
            </c:ext>
          </c:extLst>
        </c:ser>
        <c:ser>
          <c:idx val="3"/>
          <c:order val="3"/>
          <c:tx>
            <c:strRef>
              <c:f>Sheet1!$A$5</c:f>
              <c:strCache>
                <c:ptCount val="1"/>
              </c:strCache>
            </c:strRef>
          </c:tx>
          <c:spPr>
            <a:solidFill>
              <a:srgbClr val="CCFFFF"/>
            </a:solidFill>
            <a:ln w="13949">
              <a:solidFill>
                <a:srgbClr val="000000"/>
              </a:solidFill>
              <a:prstDash val="solid"/>
            </a:ln>
          </c:spPr>
          <c:invertIfNegative val="0"/>
          <c:cat>
            <c:strRef>
              <c:f>Sheet1!$B$1:$C$1</c:f>
              <c:strCache>
                <c:ptCount val="2"/>
                <c:pt idx="0">
                  <c:v>Α΄ Εξαμ. 2024</c:v>
                </c:pt>
                <c:pt idx="1">
                  <c:v>Α΄ Εξαμ. 2025</c:v>
                </c:pt>
              </c:strCache>
            </c:strRef>
          </c:cat>
          <c:val>
            <c:numRef>
              <c:f>Sheet1!$B$5:$C$5</c:f>
              <c:numCache>
                <c:formatCode>General</c:formatCode>
                <c:ptCount val="2"/>
              </c:numCache>
            </c:numRef>
          </c:val>
          <c:extLst>
            <c:ext xmlns:c16="http://schemas.microsoft.com/office/drawing/2014/chart" uri="{C3380CC4-5D6E-409C-BE32-E72D297353CC}">
              <c16:uniqueId val="{00000009-2E39-4140-B490-435905C55204}"/>
            </c:ext>
          </c:extLst>
        </c:ser>
        <c:dLbls>
          <c:showLegendKey val="0"/>
          <c:showVal val="0"/>
          <c:showCatName val="0"/>
          <c:showSerName val="0"/>
          <c:showPercent val="0"/>
          <c:showBubbleSize val="0"/>
        </c:dLbls>
        <c:gapWidth val="110"/>
        <c:overlap val="100"/>
        <c:axId val="198317992"/>
        <c:axId val="1"/>
      </c:barChart>
      <c:catAx>
        <c:axId val="198317992"/>
        <c:scaling>
          <c:orientation val="minMax"/>
        </c:scaling>
        <c:delete val="0"/>
        <c:axPos val="b"/>
        <c:numFmt formatCode="General" sourceLinked="1"/>
        <c:majorTickMark val="out"/>
        <c:minorTickMark val="none"/>
        <c:tickLblPos val="nextTo"/>
        <c:spPr>
          <a:ln w="13949">
            <a:solidFill>
              <a:srgbClr val="021342"/>
            </a:solidFill>
            <a:prstDash val="solid"/>
          </a:ln>
        </c:spPr>
        <c:txPr>
          <a:bodyPr rot="0" vert="horz"/>
          <a:lstStyle/>
          <a:p>
            <a:pPr>
              <a:defRPr sz="1100" b="1" i="0" u="none" strike="noStrike" baseline="0">
                <a:solidFill>
                  <a:srgbClr val="EA002A"/>
                </a:solidFill>
                <a:latin typeface="Eurobank Sans" panose="02000503000000020004" pitchFamily="2" charset="0"/>
                <a:ea typeface="Arial"/>
                <a:cs typeface="Arial"/>
              </a:defRPr>
            </a:pPr>
            <a:endParaRPr lang="el-GR"/>
          </a:p>
        </c:txPr>
        <c:crossAx val="1"/>
        <c:crossesAt val="0"/>
        <c:auto val="1"/>
        <c:lblAlgn val="ctr"/>
        <c:lblOffset val="100"/>
        <c:tickLblSkip val="1"/>
        <c:tickMarkSkip val="1"/>
        <c:noMultiLvlLbl val="0"/>
      </c:catAx>
      <c:valAx>
        <c:axId val="1"/>
        <c:scaling>
          <c:orientation val="minMax"/>
          <c:max val="22"/>
          <c:min val="0"/>
        </c:scaling>
        <c:delete val="1"/>
        <c:axPos val="l"/>
        <c:numFmt formatCode="General" sourceLinked="1"/>
        <c:majorTickMark val="out"/>
        <c:minorTickMark val="none"/>
        <c:tickLblPos val="nextTo"/>
        <c:crossAx val="198317992"/>
        <c:crosses val="autoZero"/>
        <c:crossBetween val="between"/>
        <c:majorUnit val="10"/>
        <c:minorUnit val="10"/>
      </c:valAx>
      <c:spPr>
        <a:noFill/>
        <a:ln w="27899">
          <a:noFill/>
        </a:ln>
      </c:spPr>
    </c:plotArea>
    <c:plotVisOnly val="1"/>
    <c:dispBlanksAs val="gap"/>
    <c:showDLblsOverMax val="0"/>
  </c:chart>
  <c:spPr>
    <a:noFill/>
    <a:ln>
      <a:noFill/>
    </a:ln>
  </c:spPr>
  <c:txPr>
    <a:bodyPr/>
    <a:lstStyle/>
    <a:p>
      <a:pPr>
        <a:defRPr sz="494" b="1" i="0" u="none" strike="noStrike" baseline="0">
          <a:solidFill>
            <a:srgbClr val="000000"/>
          </a:solidFill>
          <a:latin typeface="Arial"/>
          <a:ea typeface="Arial"/>
          <a:cs typeface="Arial"/>
        </a:defRPr>
      </a:pPr>
      <a:endParaRPr lang="el-GR"/>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39A27-A99E-4734-AE81-E6653C0A4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2576</Words>
  <Characters>13916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EuroBank</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Chalaris Yiannis</dc:creator>
  <cp:lastModifiedBy>Chalaris Yiannis</cp:lastModifiedBy>
  <cp:revision>10</cp:revision>
  <cp:lastPrinted>2025-02-27T11:40:00Z</cp:lastPrinted>
  <dcterms:created xsi:type="dcterms:W3CDTF">2025-07-30T07:02:00Z</dcterms:created>
  <dcterms:modified xsi:type="dcterms:W3CDTF">2025-07-31T09:27:00Z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2021-11-12T00:00:00Z</vt:filetime>
  </property>
  <property fmtid="{D5CDD505-2E9C-101B-9397-08002B2CF9AE}" pid="3" name="Creator">
    <vt:lpwstr>Adobe InDesign 16.1 (Windows)</vt:lpwstr>
  </property>
  <property fmtid="{D5CDD505-2E9C-101B-9397-08002B2CF9AE}" pid="4" name="LastSaved">
    <vt:filetime>2021-11-12T00:00:00Z</vt:filetime>
  </property>
</Properties>
</file>