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A1A9" w14:textId="77777777" w:rsidR="007725DC" w:rsidRPr="00CE1B3D" w:rsidRDefault="007725DC" w:rsidP="007725DC">
      <w:pPr>
        <w:pStyle w:val="Publicationtype"/>
      </w:pPr>
      <w:r w:rsidRPr="00CE1B3D">
        <w:t>Press release</w:t>
      </w:r>
    </w:p>
    <w:p w14:paraId="282BA3A3" w14:textId="171FFCE0" w:rsidR="00304CC4" w:rsidRPr="00CE1B3D" w:rsidRDefault="00041717" w:rsidP="00304CC4">
      <w:pPr>
        <w:pStyle w:val="Publicationdate"/>
      </w:pPr>
      <w:r>
        <w:t>23</w:t>
      </w:r>
      <w:r w:rsidR="002E44D4">
        <w:t xml:space="preserve"> </w:t>
      </w:r>
      <w:r>
        <w:t>July</w:t>
      </w:r>
      <w:r w:rsidR="002E44D4">
        <w:t xml:space="preserve"> 2025</w:t>
      </w:r>
    </w:p>
    <w:p w14:paraId="45B543C3" w14:textId="3E699D85" w:rsidR="007725DC" w:rsidRPr="00CE1B3D" w:rsidRDefault="00AE6978" w:rsidP="007725DC">
      <w:pPr>
        <w:pStyle w:val="Title"/>
        <w:rPr>
          <w:sz w:val="34"/>
          <w:szCs w:val="34"/>
        </w:rPr>
      </w:pPr>
      <w:proofErr w:type="gramStart"/>
      <w:r w:rsidRPr="00CE1B3D">
        <w:rPr>
          <w:sz w:val="34"/>
          <w:szCs w:val="34"/>
        </w:rPr>
        <w:t>Payments</w:t>
      </w:r>
      <w:proofErr w:type="gramEnd"/>
      <w:r w:rsidRPr="00CE1B3D">
        <w:rPr>
          <w:sz w:val="34"/>
          <w:szCs w:val="34"/>
        </w:rPr>
        <w:t xml:space="preserve"> statistics</w:t>
      </w:r>
      <w:r w:rsidR="007725DC" w:rsidRPr="00CE1B3D">
        <w:rPr>
          <w:sz w:val="34"/>
          <w:szCs w:val="34"/>
        </w:rPr>
        <w:t>:</w:t>
      </w:r>
      <w:r w:rsidR="00676662">
        <w:rPr>
          <w:sz w:val="34"/>
          <w:szCs w:val="34"/>
        </w:rPr>
        <w:t xml:space="preserve"> </w:t>
      </w:r>
      <w:bookmarkStart w:id="0" w:name="_Hlk149336923"/>
      <w:r w:rsidR="00D8141E">
        <w:rPr>
          <w:sz w:val="34"/>
          <w:szCs w:val="34"/>
        </w:rPr>
        <w:t>second half of 2024</w:t>
      </w:r>
      <w:r w:rsidR="007725DC" w:rsidRPr="00CE1B3D">
        <w:rPr>
          <w:sz w:val="34"/>
          <w:szCs w:val="34"/>
        </w:rPr>
        <w:t xml:space="preserve"> </w:t>
      </w:r>
      <w:bookmarkEnd w:id="0"/>
    </w:p>
    <w:bookmarkStart w:id="1" w:name="_Hlk171075340"/>
    <w:p w14:paraId="55F55A64" w14:textId="65374640" w:rsidR="002E3351" w:rsidRPr="00CE1B3D" w:rsidRDefault="0022394D" w:rsidP="00191B9F">
      <w:pPr>
        <w:pStyle w:val="ListBullet"/>
        <w:numPr>
          <w:ilvl w:val="0"/>
          <w:numId w:val="2"/>
        </w:numPr>
        <w:spacing w:line="260" w:lineRule="atLeast"/>
        <w:ind w:left="193" w:hanging="193"/>
        <w:contextualSpacing w:val="0"/>
        <w:jc w:val="left"/>
        <w:rPr>
          <w:color w:val="000000"/>
          <w:sz w:val="18"/>
          <w:szCs w:val="20"/>
        </w:rPr>
      </w:pPr>
      <w:r w:rsidRPr="003C23EE">
        <w:rPr>
          <w:rStyle w:val="Hyperlink"/>
          <w:color w:val="328DD2"/>
        </w:rPr>
        <w:fldChar w:fldCharType="begin"/>
      </w:r>
      <w:r w:rsidRPr="003C23EE">
        <w:rPr>
          <w:rStyle w:val="Hyperlink"/>
          <w:color w:val="328DD2"/>
        </w:rPr>
        <w:instrText>HYPERLINK "https://data.ecb.europa.eu/search-results?searchTerm=PAY.H.U2.W0.TOTL1.1._Z.N.PN%20OR%20PAY.H.U2.W0.TOTL1.1._Z.G1.PN"</w:instrText>
      </w:r>
      <w:r w:rsidRPr="003C23EE">
        <w:rPr>
          <w:rStyle w:val="Hyperlink"/>
          <w:color w:val="328DD2"/>
        </w:rPr>
      </w:r>
      <w:r w:rsidRPr="003C23EE">
        <w:rPr>
          <w:rStyle w:val="Hyperlink"/>
          <w:color w:val="328DD2"/>
        </w:rPr>
        <w:fldChar w:fldCharType="separate"/>
      </w:r>
      <w:r w:rsidR="00777C32" w:rsidRPr="003C23EE">
        <w:rPr>
          <w:rStyle w:val="Hyperlink"/>
          <w:color w:val="328DD2"/>
          <w:sz w:val="20"/>
          <w:lang w:val="en"/>
        </w:rPr>
        <w:t xml:space="preserve">Total number of non-cash payments in </w:t>
      </w:r>
      <w:r w:rsidR="00A7068C" w:rsidRPr="003C23EE">
        <w:rPr>
          <w:rStyle w:val="Hyperlink"/>
          <w:color w:val="328DD2"/>
          <w:sz w:val="20"/>
          <w:lang w:val="en"/>
        </w:rPr>
        <w:t xml:space="preserve">the </w:t>
      </w:r>
      <w:r w:rsidR="00777C32" w:rsidRPr="003C23EE">
        <w:rPr>
          <w:rStyle w:val="Hyperlink"/>
          <w:color w:val="328DD2"/>
          <w:sz w:val="20"/>
          <w:lang w:val="en"/>
        </w:rPr>
        <w:t>euro area</w:t>
      </w:r>
      <w:r w:rsidRPr="003C23EE">
        <w:rPr>
          <w:rStyle w:val="Hyperlink"/>
          <w:color w:val="328DD2"/>
        </w:rPr>
        <w:fldChar w:fldCharType="end"/>
      </w:r>
      <w:r w:rsidR="00E450A9" w:rsidRPr="00CE1B3D">
        <w:rPr>
          <w:color w:val="000000"/>
          <w:sz w:val="20"/>
        </w:rPr>
        <w:t xml:space="preserve"> </w:t>
      </w:r>
      <w:bookmarkStart w:id="2" w:name="_Hlk150185574"/>
      <w:r w:rsidR="007D23D4" w:rsidRPr="00DF5B66">
        <w:rPr>
          <w:color w:val="000000"/>
          <w:sz w:val="20"/>
        </w:rPr>
        <w:t xml:space="preserve">in </w:t>
      </w:r>
      <w:bookmarkEnd w:id="2"/>
      <w:r w:rsidR="00D8141E" w:rsidRPr="00DF5B66">
        <w:rPr>
          <w:color w:val="000000"/>
          <w:sz w:val="20"/>
        </w:rPr>
        <w:t>second half</w:t>
      </w:r>
      <w:r w:rsidR="00D8141E">
        <w:rPr>
          <w:color w:val="000000"/>
          <w:sz w:val="20"/>
        </w:rPr>
        <w:t xml:space="preserve"> of 2024</w:t>
      </w:r>
      <w:r w:rsidR="002146AC">
        <w:rPr>
          <w:color w:val="000000"/>
          <w:sz w:val="20"/>
        </w:rPr>
        <w:t xml:space="preserve"> </w:t>
      </w:r>
      <w:r w:rsidR="00E77608" w:rsidRPr="00CE1B3D">
        <w:rPr>
          <w:color w:val="000000"/>
          <w:sz w:val="20"/>
        </w:rPr>
        <w:t xml:space="preserve">increased by </w:t>
      </w:r>
      <w:r w:rsidR="00041717">
        <w:rPr>
          <w:color w:val="000000"/>
          <w:sz w:val="20"/>
        </w:rPr>
        <w:t>8.</w:t>
      </w:r>
      <w:r w:rsidR="003F3163">
        <w:rPr>
          <w:color w:val="000000"/>
          <w:sz w:val="20"/>
        </w:rPr>
        <w:t>6</w:t>
      </w:r>
      <w:r w:rsidR="00E77608" w:rsidRPr="009D2A4F">
        <w:rPr>
          <w:color w:val="000000"/>
          <w:sz w:val="20"/>
        </w:rPr>
        <w:t>% to</w:t>
      </w:r>
      <w:r w:rsidR="00E77608" w:rsidRPr="00CE1B3D">
        <w:rPr>
          <w:color w:val="000000"/>
          <w:sz w:val="20"/>
        </w:rPr>
        <w:t xml:space="preserve"> </w:t>
      </w:r>
      <w:r w:rsidR="00041717">
        <w:rPr>
          <w:color w:val="000000"/>
          <w:sz w:val="20"/>
        </w:rPr>
        <w:t>77.</w:t>
      </w:r>
      <w:r w:rsidR="003F3163">
        <w:rPr>
          <w:color w:val="000000"/>
          <w:sz w:val="20"/>
        </w:rPr>
        <w:t>6</w:t>
      </w:r>
      <w:r w:rsidR="00E77608" w:rsidRPr="009D2A4F">
        <w:rPr>
          <w:color w:val="000000"/>
          <w:sz w:val="20"/>
        </w:rPr>
        <w:t xml:space="preserve"> billion</w:t>
      </w:r>
      <w:r w:rsidR="00303D91">
        <w:rPr>
          <w:color w:val="000000"/>
          <w:sz w:val="20"/>
        </w:rPr>
        <w:t xml:space="preserve"> </w:t>
      </w:r>
      <w:bookmarkStart w:id="3" w:name="_Hlk157501001"/>
      <w:r w:rsidR="00303D91" w:rsidRPr="00303D91">
        <w:rPr>
          <w:color w:val="000000"/>
          <w:sz w:val="20"/>
        </w:rPr>
        <w:t xml:space="preserve">compared with </w:t>
      </w:r>
      <w:bookmarkEnd w:id="3"/>
      <w:r w:rsidR="00D8141E">
        <w:rPr>
          <w:color w:val="000000"/>
          <w:sz w:val="20"/>
        </w:rPr>
        <w:t>second half of 2023</w:t>
      </w:r>
      <w:r w:rsidR="00662DC0">
        <w:rPr>
          <w:color w:val="000000"/>
          <w:sz w:val="20"/>
        </w:rPr>
        <w:t xml:space="preserve">, </w:t>
      </w:r>
      <w:r w:rsidR="00BE529E">
        <w:rPr>
          <w:color w:val="000000"/>
          <w:sz w:val="20"/>
        </w:rPr>
        <w:t>with</w:t>
      </w:r>
      <w:r w:rsidR="00E02BA0">
        <w:rPr>
          <w:color w:val="000000"/>
          <w:sz w:val="20"/>
        </w:rPr>
        <w:t xml:space="preserve"> </w:t>
      </w:r>
      <w:hyperlink r:id="rId8" w:history="1">
        <w:r w:rsidR="00352E8C" w:rsidRPr="00CE1B3D">
          <w:rPr>
            <w:rStyle w:val="Hyperlink"/>
            <w:color w:val="328DD2"/>
            <w:sz w:val="20"/>
            <w:lang w:val="en"/>
          </w:rPr>
          <w:t>total value</w:t>
        </w:r>
      </w:hyperlink>
      <w:r w:rsidR="00352E8C" w:rsidRPr="00CE1B3D">
        <w:rPr>
          <w:color w:val="000000"/>
          <w:sz w:val="20"/>
        </w:rPr>
        <w:t xml:space="preserve"> </w:t>
      </w:r>
      <w:r w:rsidR="00BE529E">
        <w:rPr>
          <w:color w:val="000000"/>
          <w:sz w:val="20"/>
        </w:rPr>
        <w:t>rising</w:t>
      </w:r>
      <w:r w:rsidR="002671CA" w:rsidRPr="00CE1B3D">
        <w:rPr>
          <w:color w:val="000000"/>
          <w:sz w:val="20"/>
        </w:rPr>
        <w:t xml:space="preserve"> by </w:t>
      </w:r>
      <w:r w:rsidR="003F3163">
        <w:rPr>
          <w:color w:val="000000"/>
          <w:sz w:val="20"/>
        </w:rPr>
        <w:t>3.8</w:t>
      </w:r>
      <w:r w:rsidR="002671CA" w:rsidRPr="009D2A4F">
        <w:rPr>
          <w:color w:val="000000"/>
          <w:sz w:val="20"/>
        </w:rPr>
        <w:t>%</w:t>
      </w:r>
      <w:r w:rsidR="002671CA" w:rsidRPr="00CE1B3D">
        <w:rPr>
          <w:color w:val="000000"/>
          <w:sz w:val="20"/>
        </w:rPr>
        <w:t xml:space="preserve"> to €</w:t>
      </w:r>
      <w:r w:rsidR="003F3163">
        <w:rPr>
          <w:color w:val="000000"/>
          <w:sz w:val="20"/>
        </w:rPr>
        <w:t>116.9</w:t>
      </w:r>
      <w:r w:rsidR="009D2A4F">
        <w:rPr>
          <w:color w:val="000000"/>
          <w:sz w:val="20"/>
        </w:rPr>
        <w:t xml:space="preserve"> </w:t>
      </w:r>
      <w:r w:rsidR="002671CA" w:rsidRPr="00CE1B3D">
        <w:rPr>
          <w:color w:val="000000"/>
          <w:sz w:val="20"/>
        </w:rPr>
        <w:t>trillion</w:t>
      </w:r>
    </w:p>
    <w:p w14:paraId="4099A444" w14:textId="68FB951B" w:rsidR="00E450A9" w:rsidRPr="00F243D3" w:rsidRDefault="00E450A9" w:rsidP="00800081">
      <w:pPr>
        <w:pStyle w:val="ListBullet"/>
        <w:numPr>
          <w:ilvl w:val="0"/>
          <w:numId w:val="2"/>
        </w:numPr>
        <w:spacing w:line="260" w:lineRule="atLeast"/>
        <w:ind w:left="193" w:hanging="193"/>
        <w:contextualSpacing w:val="0"/>
        <w:jc w:val="left"/>
        <w:rPr>
          <w:color w:val="000000"/>
          <w:sz w:val="16"/>
          <w:szCs w:val="20"/>
        </w:rPr>
      </w:pPr>
      <w:hyperlink r:id="rId9" w:history="1">
        <w:r w:rsidRPr="00CE1B3D">
          <w:rPr>
            <w:rStyle w:val="Hyperlink"/>
            <w:color w:val="328DD2"/>
            <w:sz w:val="20"/>
            <w:lang w:val="en"/>
          </w:rPr>
          <w:t>Card payments</w:t>
        </w:r>
      </w:hyperlink>
      <w:r w:rsidRPr="00CE1B3D">
        <w:rPr>
          <w:color w:val="191919"/>
          <w:sz w:val="20"/>
          <w:lang w:val="en"/>
        </w:rPr>
        <w:t xml:space="preserve"> accounted </w:t>
      </w:r>
      <w:r w:rsidRPr="00DC455C">
        <w:rPr>
          <w:color w:val="191919"/>
          <w:sz w:val="20"/>
          <w:lang w:val="en"/>
        </w:rPr>
        <w:t>for</w:t>
      </w:r>
      <w:r w:rsidR="003E6CC2" w:rsidRPr="00DC455C">
        <w:rPr>
          <w:color w:val="191919"/>
          <w:sz w:val="20"/>
          <w:lang w:val="en"/>
        </w:rPr>
        <w:t xml:space="preserve"> </w:t>
      </w:r>
      <w:r w:rsidR="008D6CE6">
        <w:rPr>
          <w:color w:val="191919"/>
          <w:sz w:val="20"/>
          <w:lang w:val="en"/>
        </w:rPr>
        <w:t>57</w:t>
      </w:r>
      <w:r w:rsidR="003E6CC2" w:rsidRPr="00CE1B3D">
        <w:rPr>
          <w:color w:val="191919"/>
          <w:sz w:val="20"/>
          <w:lang w:val="en"/>
        </w:rPr>
        <w:t xml:space="preserve">% </w:t>
      </w:r>
      <w:r w:rsidRPr="00CE1B3D">
        <w:rPr>
          <w:color w:val="191919"/>
          <w:sz w:val="20"/>
          <w:lang w:val="en"/>
        </w:rPr>
        <w:t>of total number of non-cash payments</w:t>
      </w:r>
      <w:r w:rsidR="00303D91">
        <w:rPr>
          <w:color w:val="191919"/>
          <w:sz w:val="20"/>
          <w:lang w:val="en"/>
        </w:rPr>
        <w:t xml:space="preserve"> </w:t>
      </w:r>
      <w:r w:rsidR="00303D91" w:rsidRPr="00DF5B66">
        <w:rPr>
          <w:color w:val="191919"/>
          <w:sz w:val="20"/>
          <w:lang w:val="en"/>
        </w:rPr>
        <w:t xml:space="preserve">in </w:t>
      </w:r>
      <w:r w:rsidR="00D8141E" w:rsidRPr="00DF5B66">
        <w:rPr>
          <w:color w:val="000000"/>
          <w:sz w:val="20"/>
        </w:rPr>
        <w:t>second half</w:t>
      </w:r>
      <w:r w:rsidR="00D8141E">
        <w:rPr>
          <w:color w:val="000000"/>
          <w:sz w:val="20"/>
        </w:rPr>
        <w:t xml:space="preserve"> of 2024</w:t>
      </w:r>
      <w:r w:rsidRPr="00CE1B3D">
        <w:rPr>
          <w:color w:val="191919"/>
          <w:sz w:val="20"/>
          <w:lang w:val="en"/>
        </w:rPr>
        <w:t xml:space="preserve">, </w:t>
      </w:r>
      <w:hyperlink r:id="rId10" w:history="1">
        <w:r w:rsidRPr="00CE1B3D">
          <w:rPr>
            <w:rStyle w:val="Hyperlink"/>
            <w:color w:val="328DD2"/>
            <w:sz w:val="20"/>
            <w:lang w:val="en"/>
          </w:rPr>
          <w:t>credit transfers</w:t>
        </w:r>
      </w:hyperlink>
      <w:r w:rsidRPr="00CE1B3D">
        <w:rPr>
          <w:color w:val="191919"/>
          <w:sz w:val="20"/>
          <w:lang w:val="en"/>
        </w:rPr>
        <w:t xml:space="preserve"> </w:t>
      </w:r>
      <w:r w:rsidR="002010E7" w:rsidRPr="00CE1B3D">
        <w:rPr>
          <w:color w:val="191919"/>
          <w:sz w:val="20"/>
          <w:lang w:val="en"/>
        </w:rPr>
        <w:t>for</w:t>
      </w:r>
      <w:r w:rsidR="003E6CC2" w:rsidRPr="00CE1B3D">
        <w:rPr>
          <w:color w:val="191919"/>
          <w:sz w:val="20"/>
          <w:lang w:val="en"/>
        </w:rPr>
        <w:t xml:space="preserve"> </w:t>
      </w:r>
      <w:r w:rsidR="008D6CE6">
        <w:rPr>
          <w:color w:val="191919"/>
          <w:sz w:val="20"/>
          <w:lang w:val="en"/>
        </w:rPr>
        <w:t>21</w:t>
      </w:r>
      <w:r w:rsidR="003E6CC2" w:rsidRPr="00CE1B3D">
        <w:rPr>
          <w:color w:val="191919"/>
          <w:sz w:val="20"/>
          <w:lang w:val="en"/>
        </w:rPr>
        <w:t>%</w:t>
      </w:r>
      <w:r w:rsidR="000016D9">
        <w:rPr>
          <w:color w:val="191919"/>
          <w:sz w:val="20"/>
          <w:lang w:val="en"/>
        </w:rPr>
        <w:t>,</w:t>
      </w:r>
      <w:r w:rsidRPr="00CE1B3D">
        <w:rPr>
          <w:color w:val="191919"/>
          <w:sz w:val="20"/>
          <w:lang w:val="en"/>
        </w:rPr>
        <w:t xml:space="preserve"> </w:t>
      </w:r>
      <w:hyperlink r:id="rId11" w:history="1">
        <w:r w:rsidRPr="00CE1B3D">
          <w:rPr>
            <w:rStyle w:val="Hyperlink"/>
            <w:color w:val="328DD2"/>
            <w:sz w:val="20"/>
            <w:lang w:val="en"/>
          </w:rPr>
          <w:t>direct debits</w:t>
        </w:r>
      </w:hyperlink>
      <w:r w:rsidRPr="00CE1B3D">
        <w:rPr>
          <w:color w:val="191919"/>
          <w:sz w:val="20"/>
          <w:lang w:val="en"/>
        </w:rPr>
        <w:t xml:space="preserve"> </w:t>
      </w:r>
      <w:r w:rsidR="002010E7" w:rsidRPr="00CE1B3D">
        <w:rPr>
          <w:color w:val="191919"/>
          <w:sz w:val="20"/>
          <w:lang w:val="en"/>
        </w:rPr>
        <w:t>for</w:t>
      </w:r>
      <w:r w:rsidR="003E6CC2" w:rsidRPr="00CE1B3D">
        <w:rPr>
          <w:color w:val="191919"/>
          <w:sz w:val="20"/>
          <w:lang w:val="en"/>
        </w:rPr>
        <w:t xml:space="preserve"> </w:t>
      </w:r>
      <w:r w:rsidR="00FD58E1">
        <w:rPr>
          <w:color w:val="191919"/>
          <w:sz w:val="20"/>
          <w:lang w:val="en"/>
        </w:rPr>
        <w:t>1</w:t>
      </w:r>
      <w:r w:rsidR="00D64D39">
        <w:rPr>
          <w:color w:val="191919"/>
          <w:sz w:val="20"/>
          <w:lang w:val="en"/>
        </w:rPr>
        <w:t>5</w:t>
      </w:r>
      <w:r w:rsidR="003E6CC2" w:rsidRPr="00CE1B3D">
        <w:rPr>
          <w:color w:val="191919"/>
          <w:sz w:val="20"/>
          <w:lang w:val="en"/>
        </w:rPr>
        <w:t>%</w:t>
      </w:r>
      <w:r w:rsidR="000016D9">
        <w:rPr>
          <w:color w:val="191919"/>
          <w:sz w:val="20"/>
          <w:lang w:val="en"/>
        </w:rPr>
        <w:t xml:space="preserve"> and </w:t>
      </w:r>
      <w:hyperlink r:id="rId12" w:history="1">
        <w:r w:rsidR="000016D9" w:rsidRPr="00C30B1A">
          <w:rPr>
            <w:rStyle w:val="Hyperlink"/>
            <w:color w:val="328DD2"/>
            <w:sz w:val="20"/>
            <w:lang w:val="en"/>
          </w:rPr>
          <w:t>e-money</w:t>
        </w:r>
        <w:r w:rsidR="00523CC7" w:rsidRPr="00C30B1A">
          <w:rPr>
            <w:rStyle w:val="Hyperlink"/>
            <w:color w:val="328DD2"/>
            <w:sz w:val="20"/>
            <w:lang w:val="en"/>
          </w:rPr>
          <w:t xml:space="preserve"> payments</w:t>
        </w:r>
      </w:hyperlink>
      <w:r w:rsidR="005711BE">
        <w:rPr>
          <w:color w:val="191919"/>
          <w:sz w:val="20"/>
          <w:lang w:val="en"/>
        </w:rPr>
        <w:t xml:space="preserve"> </w:t>
      </w:r>
      <w:r w:rsidR="00523CC7">
        <w:rPr>
          <w:color w:val="191919"/>
          <w:sz w:val="20"/>
          <w:lang w:val="en"/>
        </w:rPr>
        <w:t xml:space="preserve">for </w:t>
      </w:r>
      <w:r w:rsidR="00D46FCB">
        <w:rPr>
          <w:color w:val="191919"/>
          <w:sz w:val="20"/>
          <w:lang w:val="en"/>
        </w:rPr>
        <w:t>6</w:t>
      </w:r>
      <w:r w:rsidR="00523CC7">
        <w:rPr>
          <w:color w:val="191919"/>
          <w:sz w:val="20"/>
          <w:lang w:val="en"/>
        </w:rPr>
        <w:t>%</w:t>
      </w:r>
      <w:r w:rsidR="00523CC7">
        <w:rPr>
          <w:rStyle w:val="FootnoteReference"/>
          <w:color w:val="191919"/>
          <w:sz w:val="20"/>
          <w:lang w:val="en"/>
        </w:rPr>
        <w:footnoteReference w:id="1"/>
      </w:r>
    </w:p>
    <w:p w14:paraId="5036CACE" w14:textId="32DF553D" w:rsidR="00704EFF" w:rsidRPr="00D922F3" w:rsidRDefault="00704EFF" w:rsidP="00704EFF">
      <w:pPr>
        <w:pStyle w:val="ListBullet"/>
        <w:numPr>
          <w:ilvl w:val="0"/>
          <w:numId w:val="2"/>
        </w:numPr>
        <w:spacing w:line="260" w:lineRule="atLeast"/>
        <w:ind w:left="193" w:hanging="193"/>
        <w:contextualSpacing w:val="0"/>
        <w:jc w:val="left"/>
        <w:rPr>
          <w:rStyle w:val="Hyperlink"/>
          <w:color w:val="328DD2"/>
          <w:sz w:val="20"/>
          <w:szCs w:val="20"/>
          <w:u w:val="none"/>
          <w:lang w:val="en"/>
        </w:rPr>
      </w:pPr>
      <w:hyperlink r:id="rId13" w:history="1">
        <w:r w:rsidRPr="00D922F3">
          <w:rPr>
            <w:rStyle w:val="Hyperlink"/>
            <w:color w:val="328DD2"/>
            <w:sz w:val="20"/>
            <w:szCs w:val="20"/>
            <w:lang w:val="en"/>
          </w:rPr>
          <w:t>Number of contactless card payments</w:t>
        </w:r>
      </w:hyperlink>
      <w:r w:rsidRPr="00D922F3">
        <w:rPr>
          <w:rStyle w:val="Hyperlink"/>
          <w:color w:val="328DD2"/>
          <w:sz w:val="20"/>
          <w:szCs w:val="20"/>
          <w:u w:val="none"/>
        </w:rPr>
        <w:t xml:space="preserve"> </w:t>
      </w:r>
      <w:r w:rsidRPr="00DF5B66">
        <w:rPr>
          <w:rStyle w:val="Hyperlink"/>
          <w:color w:val="auto"/>
          <w:sz w:val="20"/>
          <w:szCs w:val="20"/>
          <w:u w:val="none"/>
          <w:lang w:val="en"/>
        </w:rPr>
        <w:t xml:space="preserve">in </w:t>
      </w:r>
      <w:r w:rsidR="00D8141E" w:rsidRPr="00DF5B66">
        <w:rPr>
          <w:rStyle w:val="Hyperlink"/>
          <w:color w:val="auto"/>
          <w:sz w:val="20"/>
          <w:szCs w:val="20"/>
          <w:u w:val="none"/>
          <w:lang w:val="en"/>
        </w:rPr>
        <w:t>second half</w:t>
      </w:r>
      <w:r w:rsidR="00D8141E">
        <w:rPr>
          <w:rStyle w:val="Hyperlink"/>
          <w:color w:val="auto"/>
          <w:sz w:val="20"/>
          <w:szCs w:val="20"/>
          <w:u w:val="none"/>
          <w:lang w:val="en"/>
        </w:rPr>
        <w:t xml:space="preserve"> of 2024</w:t>
      </w:r>
      <w:r w:rsidRPr="00D922F3">
        <w:rPr>
          <w:rStyle w:val="Hyperlink"/>
          <w:color w:val="auto"/>
          <w:sz w:val="20"/>
          <w:szCs w:val="20"/>
          <w:u w:val="none"/>
          <w:lang w:val="en"/>
        </w:rPr>
        <w:t xml:space="preserve"> increased by </w:t>
      </w:r>
      <w:r w:rsidR="003F3163">
        <w:rPr>
          <w:rStyle w:val="Hyperlink"/>
          <w:color w:val="auto"/>
          <w:sz w:val="20"/>
          <w:szCs w:val="20"/>
          <w:u w:val="none"/>
          <w:lang w:val="en"/>
        </w:rPr>
        <w:t>15.5</w:t>
      </w:r>
      <w:r w:rsidRPr="00D922F3">
        <w:rPr>
          <w:rStyle w:val="Hyperlink"/>
          <w:color w:val="auto"/>
          <w:sz w:val="20"/>
          <w:szCs w:val="20"/>
          <w:u w:val="none"/>
          <w:lang w:val="en"/>
        </w:rPr>
        <w:t xml:space="preserve">% to </w:t>
      </w:r>
      <w:r w:rsidR="008C32E9">
        <w:rPr>
          <w:rStyle w:val="Hyperlink"/>
          <w:color w:val="auto"/>
          <w:sz w:val="20"/>
          <w:szCs w:val="20"/>
          <w:u w:val="none"/>
          <w:lang w:val="en"/>
        </w:rPr>
        <w:t>29.5</w:t>
      </w:r>
      <w:r w:rsidRPr="00D922F3">
        <w:rPr>
          <w:rStyle w:val="Hyperlink"/>
          <w:color w:val="auto"/>
          <w:sz w:val="20"/>
          <w:szCs w:val="20"/>
          <w:u w:val="none"/>
          <w:lang w:val="en"/>
        </w:rPr>
        <w:t xml:space="preserve"> billion compared with </w:t>
      </w:r>
      <w:r w:rsidR="00D8141E">
        <w:rPr>
          <w:rStyle w:val="Hyperlink"/>
          <w:color w:val="auto"/>
          <w:sz w:val="20"/>
          <w:szCs w:val="20"/>
          <w:u w:val="none"/>
          <w:lang w:val="en"/>
        </w:rPr>
        <w:t>second half of 2023</w:t>
      </w:r>
      <w:r w:rsidRPr="00D922F3">
        <w:rPr>
          <w:rStyle w:val="Hyperlink"/>
          <w:color w:val="auto"/>
          <w:sz w:val="20"/>
          <w:szCs w:val="20"/>
          <w:u w:val="none"/>
          <w:lang w:val="en"/>
        </w:rPr>
        <w:t>,</w:t>
      </w:r>
      <w:r w:rsidRPr="00D922F3">
        <w:rPr>
          <w:rStyle w:val="Hyperlink"/>
          <w:color w:val="328DD2"/>
          <w:sz w:val="20"/>
          <w:szCs w:val="20"/>
          <w:u w:val="none"/>
          <w:lang w:val="en"/>
        </w:rPr>
        <w:t xml:space="preserve"> </w:t>
      </w:r>
      <w:r w:rsidRPr="00D922F3">
        <w:rPr>
          <w:rStyle w:val="Hyperlink"/>
          <w:color w:val="auto"/>
          <w:sz w:val="20"/>
          <w:szCs w:val="20"/>
          <w:u w:val="none"/>
          <w:lang w:val="en"/>
        </w:rPr>
        <w:t xml:space="preserve">with </w:t>
      </w:r>
      <w:hyperlink r:id="rId14" w:history="1">
        <w:r w:rsidRPr="00D922F3">
          <w:rPr>
            <w:rStyle w:val="Hyperlink"/>
            <w:color w:val="328DD2"/>
            <w:sz w:val="20"/>
            <w:szCs w:val="20"/>
            <w:lang w:val="en"/>
          </w:rPr>
          <w:t>total value</w:t>
        </w:r>
      </w:hyperlink>
      <w:r w:rsidRPr="00D922F3">
        <w:rPr>
          <w:rStyle w:val="Hyperlink"/>
          <w:color w:val="328DD2"/>
          <w:sz w:val="20"/>
          <w:szCs w:val="20"/>
          <w:u w:val="none"/>
        </w:rPr>
        <w:t xml:space="preserve"> </w:t>
      </w:r>
      <w:r w:rsidRPr="00D922F3">
        <w:rPr>
          <w:rStyle w:val="Hyperlink"/>
          <w:color w:val="auto"/>
          <w:sz w:val="20"/>
          <w:szCs w:val="20"/>
          <w:u w:val="none"/>
          <w:lang w:val="en"/>
        </w:rPr>
        <w:t xml:space="preserve">rising by </w:t>
      </w:r>
      <w:r w:rsidR="003F3163">
        <w:rPr>
          <w:rStyle w:val="Hyperlink"/>
          <w:color w:val="auto"/>
          <w:sz w:val="20"/>
          <w:szCs w:val="20"/>
          <w:u w:val="none"/>
          <w:lang w:val="en"/>
        </w:rPr>
        <w:t>15.1</w:t>
      </w:r>
      <w:r w:rsidRPr="00D922F3">
        <w:rPr>
          <w:rStyle w:val="Hyperlink"/>
          <w:color w:val="auto"/>
          <w:sz w:val="20"/>
          <w:szCs w:val="20"/>
          <w:u w:val="none"/>
          <w:lang w:val="en"/>
        </w:rPr>
        <w:t>% to €</w:t>
      </w:r>
      <w:r w:rsidR="008C32E9">
        <w:rPr>
          <w:rStyle w:val="Hyperlink"/>
          <w:color w:val="auto"/>
          <w:sz w:val="20"/>
          <w:szCs w:val="20"/>
          <w:u w:val="none"/>
          <w:lang w:val="en"/>
        </w:rPr>
        <w:t>0.8</w:t>
      </w:r>
      <w:r w:rsidRPr="00D922F3">
        <w:rPr>
          <w:rStyle w:val="Hyperlink"/>
          <w:color w:val="auto"/>
          <w:sz w:val="20"/>
          <w:szCs w:val="20"/>
          <w:u w:val="none"/>
          <w:lang w:val="en"/>
        </w:rPr>
        <w:t xml:space="preserve"> trillion</w:t>
      </w:r>
    </w:p>
    <w:p w14:paraId="4C14FAE5" w14:textId="5DCCFE57" w:rsidR="00DF7904" w:rsidRPr="00DF7904" w:rsidRDefault="0030526F" w:rsidP="00DF7904">
      <w:pPr>
        <w:pStyle w:val="ListBullet"/>
        <w:numPr>
          <w:ilvl w:val="0"/>
          <w:numId w:val="2"/>
        </w:numPr>
        <w:spacing w:line="260" w:lineRule="atLeast"/>
        <w:ind w:left="193" w:hanging="193"/>
        <w:contextualSpacing w:val="0"/>
        <w:jc w:val="left"/>
        <w:rPr>
          <w:color w:val="191919"/>
          <w:sz w:val="20"/>
          <w:szCs w:val="20"/>
          <w:lang w:val="en"/>
        </w:rPr>
      </w:pPr>
      <w:hyperlink r:id="rId15" w:history="1">
        <w:r w:rsidRPr="00EB4C18">
          <w:rPr>
            <w:rStyle w:val="Hyperlink"/>
            <w:color w:val="328DD2"/>
            <w:sz w:val="20"/>
            <w:lang w:val="en"/>
          </w:rPr>
          <w:t xml:space="preserve">Number of payment cards </w:t>
        </w:r>
        <w:r w:rsidR="00674E68" w:rsidRPr="00EB4C18">
          <w:rPr>
            <w:rStyle w:val="Hyperlink"/>
            <w:color w:val="328DD2"/>
            <w:sz w:val="20"/>
            <w:lang w:val="en"/>
          </w:rPr>
          <w:t>in circulation</w:t>
        </w:r>
      </w:hyperlink>
      <w:r w:rsidRPr="00CE1B3D">
        <w:rPr>
          <w:color w:val="191919"/>
          <w:sz w:val="20"/>
          <w:lang w:val="en"/>
        </w:rPr>
        <w:t xml:space="preserve"> </w:t>
      </w:r>
      <w:r w:rsidR="00DF7904">
        <w:rPr>
          <w:color w:val="191919"/>
          <w:sz w:val="20"/>
          <w:lang w:val="en"/>
        </w:rPr>
        <w:t xml:space="preserve">at the end of </w:t>
      </w:r>
      <w:r w:rsidR="00D8141E">
        <w:rPr>
          <w:color w:val="000000"/>
          <w:sz w:val="20"/>
        </w:rPr>
        <w:t>second half of 2024</w:t>
      </w:r>
      <w:r w:rsidR="002146AC">
        <w:rPr>
          <w:color w:val="000000"/>
          <w:sz w:val="20"/>
        </w:rPr>
        <w:t xml:space="preserve"> </w:t>
      </w:r>
      <w:r w:rsidR="003E6CC2" w:rsidRPr="00CE1B3D">
        <w:rPr>
          <w:color w:val="191919"/>
          <w:sz w:val="20"/>
          <w:lang w:val="en"/>
        </w:rPr>
        <w:t xml:space="preserve">increased by </w:t>
      </w:r>
      <w:r w:rsidR="003F3163">
        <w:rPr>
          <w:color w:val="191919"/>
          <w:sz w:val="20"/>
          <w:lang w:val="en"/>
        </w:rPr>
        <w:t>8.2</w:t>
      </w:r>
      <w:r w:rsidR="003E6CC2" w:rsidRPr="00CE1B3D">
        <w:rPr>
          <w:color w:val="191919"/>
          <w:sz w:val="20"/>
          <w:lang w:val="en"/>
        </w:rPr>
        <w:t xml:space="preserve">% to </w:t>
      </w:r>
      <w:r w:rsidR="003F3163">
        <w:rPr>
          <w:color w:val="191919"/>
          <w:sz w:val="20"/>
          <w:lang w:val="en"/>
        </w:rPr>
        <w:t>750.0</w:t>
      </w:r>
      <w:r w:rsidR="00E64FBD">
        <w:rPr>
          <w:color w:val="191919"/>
          <w:sz w:val="20"/>
          <w:lang w:val="en"/>
        </w:rPr>
        <w:t xml:space="preserve"> </w:t>
      </w:r>
      <w:r w:rsidR="003E6CC2" w:rsidRPr="00CE1B3D">
        <w:rPr>
          <w:color w:val="191919"/>
          <w:sz w:val="20"/>
          <w:lang w:val="en"/>
        </w:rPr>
        <w:t>million</w:t>
      </w:r>
      <w:r w:rsidR="00303D91">
        <w:rPr>
          <w:color w:val="191919"/>
          <w:sz w:val="20"/>
          <w:lang w:val="en"/>
        </w:rPr>
        <w:t xml:space="preserve"> </w:t>
      </w:r>
      <w:r w:rsidR="00303D91" w:rsidRPr="00303D91">
        <w:rPr>
          <w:color w:val="000000"/>
          <w:sz w:val="20"/>
        </w:rPr>
        <w:t xml:space="preserve">compared with </w:t>
      </w:r>
      <w:r w:rsidR="00D8141E">
        <w:rPr>
          <w:color w:val="000000"/>
          <w:sz w:val="20"/>
        </w:rPr>
        <w:t>second half of 2023</w:t>
      </w:r>
      <w:r w:rsidR="004302EF" w:rsidRPr="00CE1B3D">
        <w:rPr>
          <w:color w:val="191919"/>
          <w:sz w:val="20"/>
          <w:lang w:val="en"/>
        </w:rPr>
        <w:t xml:space="preserve">, </w:t>
      </w:r>
      <w:r w:rsidR="00662DC0">
        <w:rPr>
          <w:color w:val="191919"/>
          <w:sz w:val="20"/>
          <w:lang w:val="en"/>
        </w:rPr>
        <w:t>averaging</w:t>
      </w:r>
      <w:r w:rsidR="00662DC0" w:rsidRPr="00CE1B3D">
        <w:rPr>
          <w:color w:val="191919"/>
          <w:sz w:val="20"/>
          <w:lang w:val="en"/>
        </w:rPr>
        <w:t xml:space="preserve"> </w:t>
      </w:r>
      <w:r w:rsidR="008C32E9">
        <w:rPr>
          <w:color w:val="191919"/>
          <w:sz w:val="20"/>
          <w:lang w:val="en"/>
        </w:rPr>
        <w:t>2.1</w:t>
      </w:r>
      <w:r w:rsidR="007D428C">
        <w:t xml:space="preserve"> </w:t>
      </w:r>
      <w:hyperlink r:id="rId16" w:history="1">
        <w:r w:rsidR="00EC5FFB" w:rsidRPr="00CE1B3D">
          <w:rPr>
            <w:rStyle w:val="Hyperlink"/>
            <w:color w:val="328DD2"/>
            <w:sz w:val="20"/>
            <w:lang w:val="en"/>
          </w:rPr>
          <w:t>payment cards per euro area inhabitant</w:t>
        </w:r>
      </w:hyperlink>
      <w:r w:rsidR="00980D88" w:rsidRPr="00F36981">
        <w:rPr>
          <w:color w:val="191919"/>
          <w:sz w:val="20"/>
          <w:szCs w:val="20"/>
        </w:rPr>
        <w:t xml:space="preserve">, </w:t>
      </w:r>
      <w:r w:rsidR="00164649" w:rsidRPr="00F36981">
        <w:rPr>
          <w:color w:val="191919"/>
          <w:sz w:val="20"/>
          <w:szCs w:val="20"/>
        </w:rPr>
        <w:t xml:space="preserve">with an </w:t>
      </w:r>
      <w:hyperlink r:id="rId17" w:history="1">
        <w:r w:rsidR="00057F0C" w:rsidRPr="00C30B1A">
          <w:rPr>
            <w:rStyle w:val="Hyperlink"/>
            <w:color w:val="328DD2"/>
            <w:sz w:val="20"/>
            <w:lang w:val="en"/>
          </w:rPr>
          <w:t>average value</w:t>
        </w:r>
      </w:hyperlink>
      <w:r w:rsidR="00057F0C" w:rsidRPr="00C30B1A">
        <w:rPr>
          <w:rStyle w:val="Hyperlink"/>
          <w:color w:val="328DD2"/>
          <w:lang w:val="en"/>
        </w:rPr>
        <w:t xml:space="preserve"> </w:t>
      </w:r>
      <w:r w:rsidR="00164649" w:rsidRPr="00F36981">
        <w:rPr>
          <w:color w:val="191919"/>
          <w:sz w:val="20"/>
          <w:szCs w:val="20"/>
        </w:rPr>
        <w:t>of around €</w:t>
      </w:r>
      <w:r w:rsidR="007F79FE">
        <w:rPr>
          <w:color w:val="191919"/>
          <w:sz w:val="20"/>
          <w:szCs w:val="20"/>
        </w:rPr>
        <w:t>39</w:t>
      </w:r>
      <w:r w:rsidR="007F79FE" w:rsidRPr="00F36981">
        <w:rPr>
          <w:color w:val="191919"/>
          <w:sz w:val="20"/>
          <w:szCs w:val="20"/>
        </w:rPr>
        <w:t xml:space="preserve"> </w:t>
      </w:r>
      <w:r w:rsidR="00164649" w:rsidRPr="00F36981">
        <w:rPr>
          <w:color w:val="191919"/>
          <w:sz w:val="20"/>
          <w:szCs w:val="20"/>
        </w:rPr>
        <w:t xml:space="preserve">per </w:t>
      </w:r>
      <w:r w:rsidR="00145B0B" w:rsidRPr="00F36981">
        <w:rPr>
          <w:color w:val="191919"/>
          <w:sz w:val="20"/>
          <w:szCs w:val="20"/>
        </w:rPr>
        <w:t xml:space="preserve">card </w:t>
      </w:r>
      <w:r w:rsidR="00164649" w:rsidRPr="00F36981">
        <w:rPr>
          <w:color w:val="191919"/>
          <w:sz w:val="20"/>
          <w:szCs w:val="20"/>
        </w:rPr>
        <w:t>transaction</w:t>
      </w:r>
    </w:p>
    <w:p w14:paraId="1FC8F87B" w14:textId="0CD5AC9F" w:rsidR="00E450A9" w:rsidRPr="003218EC" w:rsidRDefault="00EC5FFB" w:rsidP="003218EC">
      <w:pPr>
        <w:pStyle w:val="ListBullet"/>
        <w:numPr>
          <w:ilvl w:val="0"/>
          <w:numId w:val="2"/>
        </w:numPr>
        <w:spacing w:line="260" w:lineRule="atLeast"/>
        <w:ind w:left="193" w:hanging="193"/>
        <w:contextualSpacing w:val="0"/>
        <w:jc w:val="left"/>
        <w:rPr>
          <w:color w:val="000000"/>
          <w:sz w:val="14"/>
          <w:szCs w:val="20"/>
        </w:rPr>
      </w:pPr>
      <w:r w:rsidRPr="00CE1B3D">
        <w:rPr>
          <w:color w:val="191919"/>
          <w:sz w:val="20"/>
          <w:lang w:val="en"/>
        </w:rPr>
        <w:t xml:space="preserve">Around </w:t>
      </w:r>
      <w:r w:rsidR="00E9489F">
        <w:rPr>
          <w:color w:val="191919"/>
          <w:sz w:val="20"/>
          <w:lang w:val="en"/>
        </w:rPr>
        <w:t>56.1</w:t>
      </w:r>
      <w:r w:rsidR="00E64FBD">
        <w:rPr>
          <w:color w:val="191919"/>
          <w:lang w:val="en"/>
        </w:rPr>
        <w:t xml:space="preserve"> </w:t>
      </w:r>
      <w:r w:rsidR="003E6CC2" w:rsidRPr="00CE1B3D">
        <w:rPr>
          <w:color w:val="191919"/>
          <w:sz w:val="20"/>
          <w:lang w:val="en"/>
        </w:rPr>
        <w:t>billion</w:t>
      </w:r>
      <w:r w:rsidRPr="00CE1B3D">
        <w:rPr>
          <w:color w:val="191919"/>
          <w:sz w:val="20"/>
          <w:lang w:val="en"/>
        </w:rPr>
        <w:t xml:space="preserve"> </w:t>
      </w:r>
      <w:bookmarkStart w:id="5" w:name="_Hlk149653552"/>
      <w:r>
        <w:fldChar w:fldCharType="begin"/>
      </w:r>
      <w:r w:rsidR="00977572">
        <w:instrText>HYPERLINK "https://data.ecb.europa.eu/search-results?searchTerm=%20PST.H._Z.W0.1._T._T.RPS_U2_ALL.N.*.Z01"</w:instrText>
      </w:r>
      <w:r>
        <w:fldChar w:fldCharType="separate"/>
      </w:r>
      <w:r w:rsidR="00777C32" w:rsidRPr="00CE1B3D">
        <w:rPr>
          <w:rStyle w:val="Hyperlink"/>
          <w:color w:val="328DD2"/>
          <w:sz w:val="20"/>
          <w:lang w:val="en"/>
        </w:rPr>
        <w:t xml:space="preserve">transactions processed by retail payment systems in </w:t>
      </w:r>
      <w:r w:rsidR="00E04A6E">
        <w:rPr>
          <w:rStyle w:val="Hyperlink"/>
          <w:color w:val="328DD2"/>
          <w:sz w:val="20"/>
          <w:lang w:val="en"/>
        </w:rPr>
        <w:t xml:space="preserve">the </w:t>
      </w:r>
      <w:r w:rsidR="00777C32" w:rsidRPr="00CE1B3D">
        <w:rPr>
          <w:rStyle w:val="Hyperlink"/>
          <w:color w:val="328DD2"/>
          <w:sz w:val="20"/>
          <w:lang w:val="en"/>
        </w:rPr>
        <w:t>euro area</w:t>
      </w:r>
      <w:r>
        <w:rPr>
          <w:rStyle w:val="Hyperlink"/>
          <w:color w:val="328DD2"/>
          <w:sz w:val="20"/>
          <w:lang w:val="en"/>
        </w:rPr>
        <w:fldChar w:fldCharType="end"/>
      </w:r>
      <w:bookmarkEnd w:id="5"/>
      <w:r w:rsidR="009D24E6">
        <w:rPr>
          <w:rStyle w:val="Hyperlink"/>
          <w:color w:val="328DD2"/>
          <w:sz w:val="20"/>
          <w:lang w:val="en"/>
        </w:rPr>
        <w:t xml:space="preserve"> </w:t>
      </w:r>
      <w:r w:rsidR="009D24E6">
        <w:rPr>
          <w:color w:val="000000"/>
          <w:sz w:val="20"/>
        </w:rPr>
        <w:t xml:space="preserve">in </w:t>
      </w:r>
      <w:r w:rsidR="00D8141E">
        <w:rPr>
          <w:color w:val="000000"/>
          <w:sz w:val="20"/>
        </w:rPr>
        <w:t>second half of 2024</w:t>
      </w:r>
      <w:r w:rsidR="00140B91" w:rsidRPr="00140B91">
        <w:rPr>
          <w:color w:val="191919"/>
          <w:sz w:val="20"/>
          <w:lang w:val="en"/>
        </w:rPr>
        <w:t xml:space="preserve">, </w:t>
      </w:r>
      <w:r w:rsidR="00E330A2" w:rsidRPr="00140B91">
        <w:rPr>
          <w:color w:val="191919"/>
          <w:sz w:val="20"/>
          <w:lang w:val="en"/>
        </w:rPr>
        <w:t>worth</w:t>
      </w:r>
      <w:r w:rsidRPr="00140B91">
        <w:rPr>
          <w:color w:val="191919"/>
          <w:sz w:val="20"/>
          <w:lang w:val="en"/>
        </w:rPr>
        <w:t xml:space="preserve"> </w:t>
      </w:r>
      <w:r w:rsidR="00791063" w:rsidRPr="00DA71C1">
        <w:rPr>
          <w:color w:val="191919"/>
          <w:sz w:val="20"/>
          <w:lang w:val="en"/>
        </w:rPr>
        <w:t>€</w:t>
      </w:r>
      <w:r w:rsidR="00E9489F">
        <w:rPr>
          <w:color w:val="191919"/>
          <w:sz w:val="20"/>
          <w:lang w:val="en"/>
        </w:rPr>
        <w:t>26.4</w:t>
      </w:r>
      <w:r w:rsidR="00791063" w:rsidRPr="00140B91">
        <w:rPr>
          <w:color w:val="191919"/>
          <w:lang w:val="en"/>
        </w:rPr>
        <w:t xml:space="preserve"> </w:t>
      </w:r>
      <w:r w:rsidR="00791063" w:rsidRPr="00140B91">
        <w:rPr>
          <w:color w:val="191919"/>
          <w:sz w:val="20"/>
          <w:lang w:val="en"/>
        </w:rPr>
        <w:t>trillion</w:t>
      </w:r>
    </w:p>
    <w:bookmarkEnd w:id="1"/>
    <w:p w14:paraId="180E1ED0" w14:textId="02BE691F" w:rsidR="0031791E" w:rsidRPr="00700AC9" w:rsidRDefault="00E450A9" w:rsidP="003218EC">
      <w:r w:rsidRPr="00CE1B3D">
        <w:t>The European Central Bank (ECB) today published statistics on non-cash payments</w:t>
      </w:r>
      <w:r w:rsidR="00662DC0">
        <w:t xml:space="preserve"> for the </w:t>
      </w:r>
      <w:r w:rsidR="00D8141E">
        <w:t>second half of 2024</w:t>
      </w:r>
      <w:r w:rsidR="00777C32" w:rsidRPr="00CE1B3D">
        <w:t>.</w:t>
      </w:r>
      <w:r w:rsidR="005D1A62">
        <w:rPr>
          <w:rStyle w:val="FootnoteReference"/>
        </w:rPr>
        <w:footnoteReference w:id="2"/>
      </w:r>
      <w:r w:rsidRPr="00CE1B3D">
        <w:t xml:space="preserve"> </w:t>
      </w:r>
      <w:bookmarkStart w:id="7" w:name="_Hlk144979196"/>
      <w:r w:rsidR="00777C32" w:rsidRPr="00CE1B3D">
        <w:t xml:space="preserve">The statistics </w:t>
      </w:r>
      <w:r w:rsidRPr="00CE1B3D">
        <w:t>comprise indicators on access to and use of payment services</w:t>
      </w:r>
      <w:r w:rsidR="006C272D">
        <w:t>, payment cards</w:t>
      </w:r>
      <w:r w:rsidRPr="00CE1B3D">
        <w:t xml:space="preserve"> and </w:t>
      </w:r>
      <w:r w:rsidR="000232D0">
        <w:t xml:space="preserve">payment </w:t>
      </w:r>
      <w:r w:rsidRPr="00CE1B3D">
        <w:t xml:space="preserve">terminals by the public, as well as volumes and values of transactions processed through </w:t>
      </w:r>
      <w:r w:rsidR="002B3DE2">
        <w:t xml:space="preserve">retail and large-value </w:t>
      </w:r>
      <w:r w:rsidRPr="00CE1B3D">
        <w:t>payment systems</w:t>
      </w:r>
      <w:bookmarkEnd w:id="7"/>
      <w:r w:rsidRPr="00CE1B3D">
        <w:t xml:space="preserve">. </w:t>
      </w:r>
      <w:r w:rsidR="00777C32" w:rsidRPr="00CE1B3D">
        <w:t>T</w:t>
      </w:r>
      <w:r w:rsidRPr="00CE1B3D">
        <w:t xml:space="preserve">his press release focuses on developments in the euro </w:t>
      </w:r>
      <w:proofErr w:type="gramStart"/>
      <w:r w:rsidRPr="00CE1B3D">
        <w:t xml:space="preserve">area as a whole, </w:t>
      </w:r>
      <w:r w:rsidR="00C727F8">
        <w:t>while</w:t>
      </w:r>
      <w:proofErr w:type="gramEnd"/>
      <w:r w:rsidR="00555417" w:rsidRPr="00CE1B3D">
        <w:t xml:space="preserve"> </w:t>
      </w:r>
      <w:r w:rsidRPr="00CE1B3D">
        <w:t xml:space="preserve">statistics are also published </w:t>
      </w:r>
      <w:r w:rsidR="00555417">
        <w:t xml:space="preserve">at country level </w:t>
      </w:r>
      <w:r w:rsidRPr="00CE1B3D">
        <w:t xml:space="preserve">for </w:t>
      </w:r>
      <w:r w:rsidR="00ED72C2">
        <w:t xml:space="preserve">all </w:t>
      </w:r>
      <w:r w:rsidR="00636EFD">
        <w:t>euro area</w:t>
      </w:r>
      <w:r w:rsidR="00C724B0">
        <w:t xml:space="preserve"> </w:t>
      </w:r>
      <w:r w:rsidR="00555417">
        <w:t>and most</w:t>
      </w:r>
      <w:r w:rsidR="00DE63AA">
        <w:t xml:space="preserve"> </w:t>
      </w:r>
      <w:r w:rsidR="00C724B0">
        <w:t>non</w:t>
      </w:r>
      <w:r w:rsidR="00D35856">
        <w:t>-</w:t>
      </w:r>
      <w:r w:rsidR="00C724B0">
        <w:t xml:space="preserve">euro area </w:t>
      </w:r>
      <w:r w:rsidR="00555417">
        <w:t>EU member states</w:t>
      </w:r>
      <w:r w:rsidR="00ED72C2">
        <w:t xml:space="preserve">. </w:t>
      </w:r>
      <w:r w:rsidRPr="00CE1B3D">
        <w:t>EU and euro area aggregates</w:t>
      </w:r>
      <w:r w:rsidR="00ED72C2">
        <w:t xml:space="preserve"> are also published</w:t>
      </w:r>
      <w:r w:rsidRPr="00CE1B3D">
        <w:t>.</w:t>
      </w:r>
      <w:r w:rsidR="00140B91">
        <w:rPr>
          <w:rStyle w:val="FootnoteReference"/>
        </w:rPr>
        <w:footnoteReference w:id="3"/>
      </w:r>
      <w:r w:rsidR="00FF79C8">
        <w:br w:type="page"/>
      </w:r>
    </w:p>
    <w:p w14:paraId="71849ABA" w14:textId="38B2569A" w:rsidR="00DA7757" w:rsidRPr="00CE1B3D" w:rsidRDefault="00DA7757" w:rsidP="00DA7757">
      <w:pPr>
        <w:pStyle w:val="Heading2"/>
      </w:pPr>
      <w:r w:rsidRPr="00CE1B3D">
        <w:lastRenderedPageBreak/>
        <w:t>Payment services</w:t>
      </w:r>
      <w:r w:rsidR="00C96785">
        <w:rPr>
          <w:rStyle w:val="FootnoteReference"/>
        </w:rPr>
        <w:footnoteReference w:id="4"/>
      </w:r>
    </w:p>
    <w:p w14:paraId="0F8AAD05" w14:textId="5B695A60" w:rsidR="00FB6725" w:rsidRDefault="0059356C" w:rsidP="00D426F0">
      <w:bookmarkStart w:id="8" w:name="_Hlk157169218"/>
      <w:r>
        <w:t xml:space="preserve">In the </w:t>
      </w:r>
      <w:r w:rsidR="00D8141E">
        <w:t>second half of 2024</w:t>
      </w:r>
      <w:r w:rsidR="005165F8">
        <w:t>,</w:t>
      </w:r>
      <w:r>
        <w:t xml:space="preserve"> t</w:t>
      </w:r>
      <w:r w:rsidR="004638A4" w:rsidRPr="00CE1B3D">
        <w:t>he total number of non-cash payment</w:t>
      </w:r>
      <w:r w:rsidR="00C24EC7">
        <w:t xml:space="preserve"> </w:t>
      </w:r>
      <w:r w:rsidR="005D1F59">
        <w:t>transactions</w:t>
      </w:r>
      <w:r w:rsidR="00C96785">
        <w:rPr>
          <w:rStyle w:val="FootnoteReference"/>
        </w:rPr>
        <w:footnoteReference w:id="5"/>
      </w:r>
      <w:r w:rsidR="004638A4" w:rsidRPr="00CE1B3D">
        <w:t xml:space="preserve"> in the euro area increased by </w:t>
      </w:r>
      <w:r w:rsidR="002036C5">
        <w:t>8.6</w:t>
      </w:r>
      <w:r w:rsidR="004638A4" w:rsidRPr="00CE1B3D">
        <w:t xml:space="preserve">% to </w:t>
      </w:r>
      <w:r w:rsidR="00157BAA">
        <w:t>77.</w:t>
      </w:r>
      <w:r w:rsidR="002036C5">
        <w:t>6</w:t>
      </w:r>
      <w:r w:rsidR="00E64FBD">
        <w:t xml:space="preserve"> </w:t>
      </w:r>
      <w:r w:rsidR="004638A4" w:rsidRPr="00CE1B3D">
        <w:t xml:space="preserve">billion </w:t>
      </w:r>
      <w:r w:rsidR="009E3602" w:rsidRPr="00CE1B3D">
        <w:t>compared with</w:t>
      </w:r>
      <w:r>
        <w:t xml:space="preserve"> the </w:t>
      </w:r>
      <w:r w:rsidR="00D8141E">
        <w:t>second half of 2023</w:t>
      </w:r>
      <w:r w:rsidR="00825C99" w:rsidRPr="00CE1B3D">
        <w:t>,</w:t>
      </w:r>
      <w:r>
        <w:t xml:space="preserve"> </w:t>
      </w:r>
      <w:r w:rsidR="00A5500D">
        <w:t>with</w:t>
      </w:r>
      <w:r w:rsidR="00A5500D" w:rsidRPr="00CE1B3D">
        <w:t xml:space="preserve"> </w:t>
      </w:r>
      <w:r w:rsidR="009E3602" w:rsidRPr="00CE1B3D">
        <w:t>the</w:t>
      </w:r>
      <w:r w:rsidR="0005097B" w:rsidRPr="00CE1B3D">
        <w:t xml:space="preserve"> corresponding</w:t>
      </w:r>
      <w:r w:rsidR="009E3602" w:rsidRPr="00CE1B3D">
        <w:t xml:space="preserve"> total value </w:t>
      </w:r>
      <w:r w:rsidR="00A5500D">
        <w:t>rising</w:t>
      </w:r>
      <w:r w:rsidR="00A5500D" w:rsidRPr="00CE1B3D">
        <w:t xml:space="preserve"> </w:t>
      </w:r>
      <w:r w:rsidR="004638A4" w:rsidRPr="00CE1B3D">
        <w:t xml:space="preserve">by </w:t>
      </w:r>
      <w:r w:rsidR="002036C5">
        <w:t>3.8</w:t>
      </w:r>
      <w:r w:rsidR="004638A4" w:rsidRPr="00CE1B3D">
        <w:t>% to €</w:t>
      </w:r>
      <w:r w:rsidR="00157BAA">
        <w:t>11</w:t>
      </w:r>
      <w:r w:rsidR="002036C5">
        <w:t>6.9</w:t>
      </w:r>
      <w:r w:rsidR="00E64FBD">
        <w:t xml:space="preserve"> </w:t>
      </w:r>
      <w:r w:rsidR="004638A4" w:rsidRPr="00CE1B3D">
        <w:t xml:space="preserve">trillion. </w:t>
      </w:r>
      <w:bookmarkEnd w:id="8"/>
      <w:r w:rsidR="004638A4" w:rsidRPr="00CE1B3D">
        <w:t xml:space="preserve">Card payments accounted for </w:t>
      </w:r>
      <w:r w:rsidR="00157BAA">
        <w:t>57</w:t>
      </w:r>
      <w:r w:rsidR="004638A4" w:rsidRPr="00CE1B3D">
        <w:rPr>
          <w:color w:val="191919"/>
          <w:lang w:val="en"/>
        </w:rPr>
        <w:t xml:space="preserve">% </w:t>
      </w:r>
      <w:r w:rsidR="004638A4" w:rsidRPr="00CE1B3D">
        <w:t xml:space="preserve">of </w:t>
      </w:r>
      <w:r w:rsidR="00FD1E76" w:rsidRPr="00CE1B3D">
        <w:t xml:space="preserve">the total number of </w:t>
      </w:r>
      <w:r w:rsidR="004638A4" w:rsidRPr="00CE1B3D">
        <w:t xml:space="preserve">transactions, while credit transfers accounted for </w:t>
      </w:r>
      <w:r w:rsidR="00157BAA">
        <w:t>21</w:t>
      </w:r>
      <w:r w:rsidR="004638A4" w:rsidRPr="00CE1B3D">
        <w:rPr>
          <w:color w:val="191919"/>
          <w:lang w:val="en"/>
        </w:rPr>
        <w:t>%</w:t>
      </w:r>
      <w:r w:rsidR="000016D9">
        <w:rPr>
          <w:color w:val="191919"/>
          <w:lang w:val="en"/>
        </w:rPr>
        <w:t>,</w:t>
      </w:r>
      <w:r w:rsidR="004638A4" w:rsidRPr="00CE1B3D">
        <w:rPr>
          <w:color w:val="191919"/>
          <w:lang w:val="en"/>
        </w:rPr>
        <w:t xml:space="preserve"> </w:t>
      </w:r>
      <w:r w:rsidR="004638A4" w:rsidRPr="00CE1B3D">
        <w:t xml:space="preserve">direct debits for </w:t>
      </w:r>
      <w:r w:rsidR="00BF248F">
        <w:rPr>
          <w:color w:val="191919"/>
          <w:lang w:val="en"/>
        </w:rPr>
        <w:t>1</w:t>
      </w:r>
      <w:r w:rsidR="00D3569C">
        <w:rPr>
          <w:color w:val="191919"/>
          <w:lang w:val="en"/>
        </w:rPr>
        <w:t>5</w:t>
      </w:r>
      <w:r w:rsidR="004638A4" w:rsidRPr="00CE1B3D">
        <w:rPr>
          <w:color w:val="191919"/>
          <w:lang w:val="en"/>
        </w:rPr>
        <w:t>%</w:t>
      </w:r>
      <w:r w:rsidR="00980D88">
        <w:rPr>
          <w:color w:val="191919"/>
          <w:lang w:val="en"/>
        </w:rPr>
        <w:t xml:space="preserve"> and </w:t>
      </w:r>
      <w:r w:rsidR="000016D9">
        <w:rPr>
          <w:color w:val="191919"/>
          <w:lang w:val="en"/>
        </w:rPr>
        <w:t>e</w:t>
      </w:r>
      <w:r w:rsidR="00135FD6">
        <w:rPr>
          <w:color w:val="191919"/>
          <w:lang w:val="en"/>
        </w:rPr>
        <w:t>-money</w:t>
      </w:r>
      <w:r w:rsidR="00461765">
        <w:rPr>
          <w:color w:val="191919"/>
          <w:lang w:val="en"/>
        </w:rPr>
        <w:t xml:space="preserve"> payments for</w:t>
      </w:r>
      <w:r w:rsidR="00135FD6">
        <w:rPr>
          <w:color w:val="191919"/>
          <w:lang w:val="en"/>
        </w:rPr>
        <w:t xml:space="preserve"> </w:t>
      </w:r>
      <w:r w:rsidR="00D96D98">
        <w:rPr>
          <w:color w:val="191919"/>
          <w:lang w:val="en"/>
        </w:rPr>
        <w:t>6</w:t>
      </w:r>
      <w:r w:rsidR="00135FD6">
        <w:rPr>
          <w:color w:val="191919"/>
          <w:lang w:val="en"/>
        </w:rPr>
        <w:t>%</w:t>
      </w:r>
      <w:r w:rsidR="005F12E3">
        <w:rPr>
          <w:color w:val="191919"/>
          <w:lang w:val="en"/>
        </w:rPr>
        <w:t>.</w:t>
      </w:r>
      <w:r w:rsidR="00135FD6">
        <w:rPr>
          <w:color w:val="191919"/>
          <w:lang w:val="en"/>
        </w:rPr>
        <w:t xml:space="preserve"> </w:t>
      </w:r>
      <w:r w:rsidR="005F12E3">
        <w:rPr>
          <w:color w:val="191919"/>
          <w:lang w:val="en"/>
        </w:rPr>
        <w:t>T</w:t>
      </w:r>
      <w:r w:rsidR="00135FD6">
        <w:rPr>
          <w:color w:val="191919"/>
          <w:lang w:val="en"/>
        </w:rPr>
        <w:t xml:space="preserve">he remaining </w:t>
      </w:r>
      <w:r w:rsidR="00444CED">
        <w:rPr>
          <w:color w:val="191919"/>
          <w:lang w:val="en"/>
        </w:rPr>
        <w:t>1</w:t>
      </w:r>
      <w:r w:rsidR="000016D9">
        <w:rPr>
          <w:color w:val="191919"/>
          <w:lang w:val="en"/>
        </w:rPr>
        <w:t xml:space="preserve">% </w:t>
      </w:r>
      <w:r w:rsidR="005F12E3">
        <w:rPr>
          <w:color w:val="191919"/>
          <w:lang w:val="en"/>
        </w:rPr>
        <w:t xml:space="preserve">comprised </w:t>
      </w:r>
      <w:r w:rsidR="00135FD6">
        <w:rPr>
          <w:color w:val="191919"/>
          <w:lang w:val="en"/>
        </w:rPr>
        <w:t>cheques, money remittances and other payment se</w:t>
      </w:r>
      <w:r w:rsidR="000016D9">
        <w:rPr>
          <w:color w:val="191919"/>
          <w:lang w:val="en"/>
        </w:rPr>
        <w:t>rvices</w:t>
      </w:r>
      <w:r w:rsidR="002E79BC">
        <w:rPr>
          <w:color w:val="191919"/>
          <w:lang w:val="en"/>
        </w:rPr>
        <w:t xml:space="preserve"> (see </w:t>
      </w:r>
      <w:r w:rsidR="007A6F36">
        <w:rPr>
          <w:color w:val="191919"/>
          <w:lang w:val="en"/>
        </w:rPr>
        <w:t>a</w:t>
      </w:r>
      <w:r w:rsidR="002E79BC">
        <w:rPr>
          <w:color w:val="191919"/>
          <w:lang w:val="en"/>
        </w:rPr>
        <w:t xml:space="preserve">nnex, </w:t>
      </w:r>
      <w:r w:rsidR="007A6F36">
        <w:rPr>
          <w:color w:val="191919"/>
          <w:lang w:val="en"/>
        </w:rPr>
        <w:t>T</w:t>
      </w:r>
      <w:r w:rsidR="002E79BC">
        <w:rPr>
          <w:color w:val="191919"/>
          <w:lang w:val="en"/>
        </w:rPr>
        <w:t>able 1)</w:t>
      </w:r>
      <w:r w:rsidR="00BA30F3">
        <w:rPr>
          <w:color w:val="191919"/>
          <w:lang w:val="en"/>
        </w:rPr>
        <w:t>.</w:t>
      </w:r>
    </w:p>
    <w:p w14:paraId="00CC7823" w14:textId="18F23EB7" w:rsidR="003B3859" w:rsidRPr="00CE1B3D" w:rsidRDefault="003B3859" w:rsidP="003B3859">
      <w:pPr>
        <w:pStyle w:val="Chartright-Heading"/>
      </w:pPr>
      <w:r w:rsidRPr="00CE1B3D">
        <w:rPr>
          <w:b/>
          <w:bCs/>
        </w:rPr>
        <w:t xml:space="preserve">Chart </w:t>
      </w:r>
      <w:r>
        <w:rPr>
          <w:b/>
          <w:bCs/>
        </w:rPr>
        <w:t>1</w:t>
      </w:r>
      <w:r w:rsidRPr="00CE1B3D">
        <w:rPr>
          <w:b/>
          <w:bCs/>
        </w:rPr>
        <w:br/>
      </w:r>
      <w:r>
        <w:t>Use of the main payment services in the euro area</w:t>
      </w:r>
    </w:p>
    <w:p w14:paraId="2432362A" w14:textId="7B9B06ED" w:rsidR="00BE529E" w:rsidRDefault="003B3859" w:rsidP="00BE529E">
      <w:pPr>
        <w:pStyle w:val="Chartright-Measure"/>
        <w:rPr>
          <w:rFonts w:ascii="Times New Roman" w:hAnsi="Times New Roman" w:cs="Times New Roman"/>
          <w:color w:val="auto"/>
        </w:rPr>
      </w:pPr>
      <w:r w:rsidRPr="00CE1B3D">
        <w:t>(</w:t>
      </w:r>
      <w:r>
        <w:t>number</w:t>
      </w:r>
      <w:r w:rsidRPr="00CE1B3D">
        <w:t xml:space="preserve"> of transactions in billions</w:t>
      </w:r>
      <w:r w:rsidR="000B5F4B">
        <w:t xml:space="preserve">, </w:t>
      </w:r>
      <w:r w:rsidR="00830198">
        <w:t xml:space="preserve">graph </w:t>
      </w:r>
      <w:r w:rsidR="00402E1D">
        <w:t xml:space="preserve">on the </w:t>
      </w:r>
      <w:r w:rsidR="000B5F4B">
        <w:t xml:space="preserve">right-hand-side </w:t>
      </w:r>
      <w:r w:rsidR="00EE637C">
        <w:t>refer</w:t>
      </w:r>
      <w:r w:rsidR="000E4460">
        <w:t>s</w:t>
      </w:r>
      <w:r w:rsidR="00EE637C">
        <w:t xml:space="preserve"> to</w:t>
      </w:r>
      <w:r w:rsidR="000B5F4B">
        <w:t xml:space="preserve"> </w:t>
      </w:r>
      <w:r w:rsidR="00812A11">
        <w:t>half-yearly data</w:t>
      </w:r>
      <w:r w:rsidRPr="00CE1B3D">
        <w:t>)</w:t>
      </w:r>
      <w:r w:rsidR="00BE529E" w:rsidRPr="00BE529E">
        <w:t xml:space="preserve"> </w:t>
      </w:r>
    </w:p>
    <w:p w14:paraId="3A6CD3C6" w14:textId="50E9D873" w:rsidR="00157BAA" w:rsidRPr="00157BAA" w:rsidRDefault="00D60846" w:rsidP="00157BAA">
      <w:pPr>
        <w:pStyle w:val="Chartright-Picture"/>
      </w:pPr>
      <w:r w:rsidRPr="00D60846">
        <w:rPr>
          <w:noProof/>
        </w:rPr>
        <w:drawing>
          <wp:inline distT="0" distB="0" distL="0" distR="0" wp14:anchorId="2B1CF07E" wp14:editId="3BFAF192">
            <wp:extent cx="5048250" cy="4305300"/>
            <wp:effectExtent l="0" t="0" r="0" b="0"/>
            <wp:docPr id="70371383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BB776" w14:textId="0DF1DDC2" w:rsidR="00083B31" w:rsidRPr="00F36981" w:rsidRDefault="00083B31" w:rsidP="00083B31">
      <w:pPr>
        <w:pStyle w:val="Chartright-SourcesNotes"/>
        <w:jc w:val="both"/>
      </w:pPr>
      <w:r w:rsidRPr="00F36981">
        <w:t>Source: ECB.</w:t>
      </w:r>
      <w:r w:rsidRPr="00F36981">
        <w:br/>
        <w:t>Note:</w:t>
      </w:r>
      <w:r w:rsidRPr="006959D5">
        <w:t xml:space="preserve"> </w:t>
      </w:r>
      <w:r w:rsidRPr="00F36981">
        <w:t xml:space="preserve">Data have been partially estimated for periods prior to 2010, as methodological changes were implemented in </w:t>
      </w:r>
      <w:r w:rsidR="00C1570D">
        <w:t>those</w:t>
      </w:r>
      <w:r w:rsidR="00C1570D" w:rsidRPr="00F36981">
        <w:t xml:space="preserve"> </w:t>
      </w:r>
      <w:r w:rsidRPr="00F36981">
        <w:t>years and some data are not</w:t>
      </w:r>
      <w:r w:rsidR="00C1570D">
        <w:t xml:space="preserve"> directly</w:t>
      </w:r>
      <w:r w:rsidRPr="00F36981">
        <w:t xml:space="preserve"> available. The historical estimation</w:t>
      </w:r>
      <w:r w:rsidR="00C1570D">
        <w:t>s</w:t>
      </w:r>
      <w:r w:rsidRPr="00F36981">
        <w:t xml:space="preserve"> done by the ECB ensure comparability of figures </w:t>
      </w:r>
      <w:r w:rsidRPr="00F36981">
        <w:lastRenderedPageBreak/>
        <w:t xml:space="preserve">over the entire period. Statistics were also collected for cheques, money remittances and other payment services which together accounted for </w:t>
      </w:r>
      <w:r w:rsidR="002E44D4">
        <w:t>1</w:t>
      </w:r>
      <w:r w:rsidRPr="00F36981">
        <w:t xml:space="preserve">% of the total number of non-cash euro area payment transactions in the </w:t>
      </w:r>
      <w:r w:rsidR="00D8141E">
        <w:t>second half of 2024</w:t>
      </w:r>
      <w:r w:rsidRPr="00F36981">
        <w:t>.</w:t>
      </w:r>
    </w:p>
    <w:p w14:paraId="03619FF9" w14:textId="010451D4" w:rsidR="00D426F0" w:rsidRPr="00083B31" w:rsidRDefault="00D426F0" w:rsidP="00D426F0">
      <w:pPr>
        <w:rPr>
          <w:rStyle w:val="Hyperlink"/>
          <w:color w:val="328DD2"/>
          <w:szCs w:val="22"/>
          <w:lang w:val="en"/>
        </w:rPr>
      </w:pPr>
      <w:hyperlink r:id="rId19" w:history="1">
        <w:r w:rsidRPr="00083B31">
          <w:rPr>
            <w:rStyle w:val="Hyperlink"/>
            <w:color w:val="328DD2"/>
            <w:szCs w:val="22"/>
            <w:lang w:val="en"/>
          </w:rPr>
          <w:t>Data on payment services</w:t>
        </w:r>
      </w:hyperlink>
    </w:p>
    <w:p w14:paraId="27AA07FC" w14:textId="408D610C" w:rsidR="00793C22" w:rsidRPr="00CE1B3D" w:rsidRDefault="00793C22" w:rsidP="00863838">
      <w:pPr>
        <w:pStyle w:val="Heading3"/>
      </w:pPr>
      <w:r w:rsidRPr="0032056B">
        <w:t>Card payments</w:t>
      </w:r>
    </w:p>
    <w:p w14:paraId="53637939" w14:textId="0C24FA4F" w:rsidR="009C1D9B" w:rsidRPr="002B4756" w:rsidRDefault="00793C22" w:rsidP="006F3713">
      <w:r w:rsidRPr="00CE1B3D">
        <w:t xml:space="preserve">In </w:t>
      </w:r>
      <w:r w:rsidR="00576C08">
        <w:t xml:space="preserve">the </w:t>
      </w:r>
      <w:r w:rsidR="00D8141E">
        <w:t>second half of 2024</w:t>
      </w:r>
      <w:r w:rsidR="00A87B24" w:rsidRPr="00CE1B3D">
        <w:t xml:space="preserve"> </w:t>
      </w:r>
      <w:r w:rsidRPr="00CE1B3D">
        <w:t>t</w:t>
      </w:r>
      <w:r w:rsidR="00304CC4" w:rsidRPr="00CE1B3D">
        <w:t xml:space="preserve">he number of card </w:t>
      </w:r>
      <w:r w:rsidRPr="00CE1B3D">
        <w:t>payment</w:t>
      </w:r>
      <w:r w:rsidR="00576C08">
        <w:t>s</w:t>
      </w:r>
      <w:r w:rsidRPr="00CE1B3D">
        <w:t xml:space="preserve"> within the euro area </w:t>
      </w:r>
      <w:r w:rsidR="00576C08">
        <w:t>increased</w:t>
      </w:r>
      <w:r w:rsidR="00304CC4" w:rsidRPr="00CE1B3D">
        <w:t xml:space="preserve"> by </w:t>
      </w:r>
      <w:r w:rsidR="00157BAA">
        <w:t>11.</w:t>
      </w:r>
      <w:r w:rsidR="002036C5">
        <w:t>3</w:t>
      </w:r>
      <w:r w:rsidR="00304CC4" w:rsidRPr="00CE1B3D">
        <w:t xml:space="preserve">% to </w:t>
      </w:r>
      <w:r w:rsidR="00157BAA">
        <w:t>4</w:t>
      </w:r>
      <w:r w:rsidR="002036C5">
        <w:t>4.3</w:t>
      </w:r>
      <w:r w:rsidR="00304CC4" w:rsidRPr="00CE1B3D">
        <w:t xml:space="preserve"> billion </w:t>
      </w:r>
      <w:r w:rsidR="00C20DA7">
        <w:t xml:space="preserve">compared with </w:t>
      </w:r>
      <w:r w:rsidR="00576C08">
        <w:t xml:space="preserve">the </w:t>
      </w:r>
      <w:r w:rsidR="00D8141E">
        <w:t>second half of 2023</w:t>
      </w:r>
      <w:r w:rsidR="00576C08">
        <w:t>.</w:t>
      </w:r>
      <w:r w:rsidR="00304CC4" w:rsidRPr="00CE1B3D">
        <w:t xml:space="preserve"> </w:t>
      </w:r>
      <w:r w:rsidR="00576C08">
        <w:t>T</w:t>
      </w:r>
      <w:r w:rsidR="00304CC4" w:rsidRPr="00CE1B3D">
        <w:t xml:space="preserve">he </w:t>
      </w:r>
      <w:r w:rsidR="00304CC4" w:rsidRPr="00974513">
        <w:t>corresponding</w:t>
      </w:r>
      <w:r w:rsidR="00304CC4" w:rsidRPr="00CE1B3D">
        <w:t xml:space="preserve"> total value </w:t>
      </w:r>
      <w:r w:rsidR="00576C08">
        <w:t>of card</w:t>
      </w:r>
      <w:r w:rsidR="00C85793" w:rsidRPr="00CE1B3D">
        <w:t xml:space="preserve"> payment</w:t>
      </w:r>
      <w:r w:rsidR="00C85793">
        <w:t>s</w:t>
      </w:r>
      <w:r w:rsidR="00576C08">
        <w:t xml:space="preserve"> rose</w:t>
      </w:r>
      <w:r w:rsidR="00304CC4" w:rsidRPr="00CE1B3D">
        <w:t xml:space="preserve"> by </w:t>
      </w:r>
      <w:r w:rsidR="002036C5">
        <w:t>9.4</w:t>
      </w:r>
      <w:r w:rsidR="00304CC4" w:rsidRPr="00CE1B3D">
        <w:t>% to €</w:t>
      </w:r>
      <w:r w:rsidR="00157BAA">
        <w:t>1.7</w:t>
      </w:r>
      <w:r w:rsidR="00BA3DB7" w:rsidRPr="00CE1B3D">
        <w:t xml:space="preserve"> </w:t>
      </w:r>
      <w:r w:rsidR="00304CC4" w:rsidRPr="00CE1B3D">
        <w:t>trillion</w:t>
      </w:r>
      <w:r w:rsidR="000172D6">
        <w:t>, reflecting</w:t>
      </w:r>
      <w:r w:rsidR="00304CC4" w:rsidRPr="00CE1B3D">
        <w:t xml:space="preserve"> an average value of around </w:t>
      </w:r>
      <w:r w:rsidR="00304CC4" w:rsidRPr="00611C43">
        <w:t>€</w:t>
      </w:r>
      <w:r w:rsidR="00157BAA">
        <w:t>3</w:t>
      </w:r>
      <w:r w:rsidR="002036C5">
        <w:t>9</w:t>
      </w:r>
      <w:r w:rsidR="00BA3DB7" w:rsidRPr="00CE1B3D">
        <w:t xml:space="preserve"> </w:t>
      </w:r>
      <w:r w:rsidR="00304CC4" w:rsidRPr="00CE1B3D">
        <w:t>per transaction.</w:t>
      </w:r>
      <w:r w:rsidR="00527949">
        <w:t xml:space="preserve"> </w:t>
      </w:r>
      <w:r w:rsidR="000172D6">
        <w:t xml:space="preserve">The split </w:t>
      </w:r>
      <w:r w:rsidR="00B17D1D">
        <w:t>between</w:t>
      </w:r>
      <w:r w:rsidR="005E4695">
        <w:t xml:space="preserve"> </w:t>
      </w:r>
      <w:r w:rsidR="000172D6">
        <w:t>r</w:t>
      </w:r>
      <w:r w:rsidR="00527949">
        <w:t xml:space="preserve">emote </w:t>
      </w:r>
      <w:r w:rsidR="00576C08">
        <w:t>and</w:t>
      </w:r>
      <w:r w:rsidR="000172D6">
        <w:t xml:space="preserve"> non-remote</w:t>
      </w:r>
      <w:r w:rsidR="006F7120">
        <w:rPr>
          <w:rStyle w:val="FootnoteReference"/>
        </w:rPr>
        <w:footnoteReference w:id="6"/>
      </w:r>
      <w:r w:rsidR="000172D6">
        <w:t xml:space="preserve"> </w:t>
      </w:r>
      <w:r w:rsidR="00527949">
        <w:t xml:space="preserve">transactions </w:t>
      </w:r>
      <w:r w:rsidR="00D72DBA">
        <w:t>in</w:t>
      </w:r>
      <w:r w:rsidR="00527949">
        <w:t xml:space="preserve"> the total number of card payments</w:t>
      </w:r>
      <w:r w:rsidR="00D3435B">
        <w:t xml:space="preserve"> </w:t>
      </w:r>
      <w:r w:rsidR="000172D6">
        <w:t xml:space="preserve">was </w:t>
      </w:r>
      <w:r w:rsidR="00157BAA">
        <w:t>1</w:t>
      </w:r>
      <w:r w:rsidR="002036C5">
        <w:t>8</w:t>
      </w:r>
      <w:r w:rsidR="000172D6" w:rsidRPr="00A56B76">
        <w:t xml:space="preserve">% </w:t>
      </w:r>
      <w:r w:rsidR="00576C08">
        <w:t>to</w:t>
      </w:r>
      <w:r w:rsidR="00527949" w:rsidRPr="00A56B76">
        <w:t xml:space="preserve"> </w:t>
      </w:r>
      <w:r w:rsidR="00157BAA">
        <w:t>8</w:t>
      </w:r>
      <w:r w:rsidR="002036C5">
        <w:t>2</w:t>
      </w:r>
      <w:r w:rsidR="00527949" w:rsidRPr="00A56B76">
        <w:t>%</w:t>
      </w:r>
      <w:r w:rsidR="000172D6" w:rsidRPr="00A56B76">
        <w:t xml:space="preserve">, while </w:t>
      </w:r>
      <w:r w:rsidR="00B65BD0">
        <w:t xml:space="preserve">the split </w:t>
      </w:r>
      <w:r w:rsidR="000172D6" w:rsidRPr="00A56B76">
        <w:t xml:space="preserve">in terms of value </w:t>
      </w:r>
      <w:r w:rsidR="00980D88">
        <w:t>was</w:t>
      </w:r>
      <w:r w:rsidR="00980D88" w:rsidRPr="00A56B76">
        <w:t xml:space="preserve"> </w:t>
      </w:r>
      <w:r w:rsidR="00A049D6">
        <w:t>28</w:t>
      </w:r>
      <w:r w:rsidR="000E542B" w:rsidRPr="00A56B76">
        <w:t>%</w:t>
      </w:r>
      <w:r w:rsidR="000172D6" w:rsidRPr="00A56B76">
        <w:t xml:space="preserve"> </w:t>
      </w:r>
      <w:r w:rsidR="00576C08">
        <w:t>to</w:t>
      </w:r>
      <w:r w:rsidR="000172D6" w:rsidRPr="00A56B76">
        <w:t xml:space="preserve"> </w:t>
      </w:r>
      <w:r w:rsidR="00A049D6">
        <w:t>72</w:t>
      </w:r>
      <w:r w:rsidR="000E542B" w:rsidRPr="00A56B76">
        <w:t>%</w:t>
      </w:r>
      <w:r w:rsidR="00527949" w:rsidRPr="00A56B76">
        <w:t>.</w:t>
      </w:r>
      <w:r w:rsidR="00617A2A">
        <w:t xml:space="preserve"> </w:t>
      </w:r>
      <w:r w:rsidR="009E08A1" w:rsidRPr="009E08A1">
        <w:t xml:space="preserve">The number of contactless card payments initiated at a physical electronic funds transfer point of sale terminal increased by </w:t>
      </w:r>
      <w:r w:rsidR="00157BAA">
        <w:t>1</w:t>
      </w:r>
      <w:r w:rsidR="002036C5">
        <w:t>5</w:t>
      </w:r>
      <w:r w:rsidR="00157BAA">
        <w:t>.5</w:t>
      </w:r>
      <w:r w:rsidR="009E08A1" w:rsidRPr="009E08A1">
        <w:t xml:space="preserve">% to </w:t>
      </w:r>
      <w:r w:rsidR="00157BAA">
        <w:t>29.5</w:t>
      </w:r>
      <w:r w:rsidR="009E08A1" w:rsidRPr="009E08A1">
        <w:t xml:space="preserve"> billion compared with the </w:t>
      </w:r>
      <w:r w:rsidR="00D8141E">
        <w:t>second half of 2023</w:t>
      </w:r>
      <w:r w:rsidR="009E08A1" w:rsidRPr="009E08A1">
        <w:t xml:space="preserve">, with the corresponding total value rising by </w:t>
      </w:r>
      <w:r w:rsidR="00157BAA">
        <w:t>1</w:t>
      </w:r>
      <w:r w:rsidR="002036C5">
        <w:t>5.1</w:t>
      </w:r>
      <w:r w:rsidR="009E08A1" w:rsidRPr="009E08A1">
        <w:t>% to €</w:t>
      </w:r>
      <w:r w:rsidR="00157BAA">
        <w:t>0.8</w:t>
      </w:r>
      <w:r w:rsidR="009E08A1" w:rsidRPr="009E08A1">
        <w:t xml:space="preserve"> trillion</w:t>
      </w:r>
      <w:r w:rsidR="009E08A1" w:rsidRPr="00072A8A">
        <w:t>. As a result, their</w:t>
      </w:r>
      <w:r w:rsidR="00617A2A" w:rsidRPr="00072A8A">
        <w:t xml:space="preserve"> share</w:t>
      </w:r>
      <w:bookmarkStart w:id="9" w:name="_Hlk157171206"/>
      <w:r w:rsidR="00F612CE" w:rsidRPr="00072A8A">
        <w:t xml:space="preserve"> </w:t>
      </w:r>
      <w:r w:rsidR="00617A2A" w:rsidRPr="00072A8A">
        <w:t xml:space="preserve">in the total number of non-remote card payments accounted </w:t>
      </w:r>
      <w:r w:rsidR="009E08A1" w:rsidRPr="00072A8A">
        <w:t>for</w:t>
      </w:r>
      <w:r w:rsidR="00617A2A" w:rsidRPr="00072A8A">
        <w:t xml:space="preserve"> </w:t>
      </w:r>
      <w:r w:rsidR="007B7E27">
        <w:t>8</w:t>
      </w:r>
      <w:r w:rsidR="002036C5">
        <w:t>1</w:t>
      </w:r>
      <w:r w:rsidR="00617A2A" w:rsidRPr="00072A8A">
        <w:t>%</w:t>
      </w:r>
      <w:r w:rsidR="00F612CE" w:rsidRPr="00072A8A">
        <w:t xml:space="preserve">, </w:t>
      </w:r>
      <w:r w:rsidR="00576C08" w:rsidRPr="00072A8A">
        <w:t>w</w:t>
      </w:r>
      <w:r w:rsidR="005801D6" w:rsidRPr="00072A8A">
        <w:t>hile</w:t>
      </w:r>
      <w:r w:rsidR="00576C08" w:rsidRPr="00072A8A">
        <w:t xml:space="preserve"> </w:t>
      </w:r>
      <w:r w:rsidR="00F612CE" w:rsidRPr="00072A8A">
        <w:t xml:space="preserve">the corresponding </w:t>
      </w:r>
      <w:r w:rsidR="00617A2A" w:rsidRPr="00072A8A">
        <w:t xml:space="preserve">share in terms of </w:t>
      </w:r>
      <w:r w:rsidR="00F612CE" w:rsidRPr="00072A8A">
        <w:t>value</w:t>
      </w:r>
      <w:r w:rsidR="005801D6" w:rsidRPr="00072A8A">
        <w:t xml:space="preserve"> </w:t>
      </w:r>
      <w:r w:rsidR="00C1570D">
        <w:t>wa</w:t>
      </w:r>
      <w:r w:rsidR="005E4695">
        <w:t>s</w:t>
      </w:r>
      <w:r w:rsidR="005E4695" w:rsidRPr="00072A8A">
        <w:t xml:space="preserve"> </w:t>
      </w:r>
      <w:r w:rsidR="007B7E27">
        <w:t>6</w:t>
      </w:r>
      <w:r w:rsidR="002036C5">
        <w:t>5</w:t>
      </w:r>
      <w:r w:rsidR="005801D6" w:rsidRPr="00072A8A">
        <w:t>%</w:t>
      </w:r>
      <w:bookmarkEnd w:id="9"/>
      <w:r w:rsidR="00F612CE" w:rsidRPr="00072A8A">
        <w:t>.</w:t>
      </w:r>
      <w:r w:rsidR="0040492C">
        <w:t xml:space="preserve"> </w:t>
      </w:r>
      <w:r w:rsidR="00443315" w:rsidRPr="00A56B76">
        <w:t xml:space="preserve">At </w:t>
      </w:r>
      <w:r w:rsidR="00576C08">
        <w:t xml:space="preserve">the </w:t>
      </w:r>
      <w:r w:rsidR="00443315" w:rsidRPr="00A56B76">
        <w:t>national level</w:t>
      </w:r>
      <w:r w:rsidR="00443315" w:rsidRPr="00A351B2">
        <w:t>,</w:t>
      </w:r>
      <w:r w:rsidR="00576C08" w:rsidRPr="00A351B2">
        <w:t xml:space="preserve"> </w:t>
      </w:r>
      <w:r w:rsidR="00582C7A">
        <w:t>Lithuania</w:t>
      </w:r>
      <w:r w:rsidR="00CE7E1A" w:rsidRPr="00A351B2">
        <w:t xml:space="preserve"> </w:t>
      </w:r>
      <w:r w:rsidR="00EF77C6">
        <w:t>continued to have</w:t>
      </w:r>
      <w:r w:rsidR="00443315" w:rsidRPr="00A56B76">
        <w:t xml:space="preserve"> the </w:t>
      </w:r>
      <w:r w:rsidR="00576C08">
        <w:t>largest</w:t>
      </w:r>
      <w:r w:rsidR="00443315" w:rsidRPr="00A56B76">
        <w:t xml:space="preserve"> share of card payments as a percentage of the total number of non-cash payments in </w:t>
      </w:r>
      <w:r w:rsidR="00576C08">
        <w:t xml:space="preserve">the </w:t>
      </w:r>
      <w:r w:rsidR="00D8141E">
        <w:t>second half of 2024</w:t>
      </w:r>
      <w:r w:rsidR="00443315" w:rsidRPr="00A56B76">
        <w:t xml:space="preserve">, </w:t>
      </w:r>
      <w:r w:rsidR="00443315" w:rsidRPr="00CE1B3D">
        <w:t xml:space="preserve">at around </w:t>
      </w:r>
      <w:r w:rsidR="002036C5">
        <w:t>79</w:t>
      </w:r>
      <w:r w:rsidR="00443315" w:rsidRPr="00CE1B3D">
        <w:t>%</w:t>
      </w:r>
      <w:r w:rsidR="00A56B76">
        <w:t xml:space="preserve"> (see </w:t>
      </w:r>
      <w:r w:rsidR="00576C08">
        <w:t>a</w:t>
      </w:r>
      <w:r w:rsidR="00A56B76">
        <w:t>nnex</w:t>
      </w:r>
      <w:r w:rsidR="002E79BC">
        <w:t xml:space="preserve">, </w:t>
      </w:r>
      <w:r w:rsidR="00576C08">
        <w:t>T</w:t>
      </w:r>
      <w:r w:rsidR="002E79BC">
        <w:t xml:space="preserve">able </w:t>
      </w:r>
      <w:r w:rsidR="0080728E">
        <w:t>2</w:t>
      </w:r>
      <w:r w:rsidR="00A56B76">
        <w:t>)</w:t>
      </w:r>
      <w:r w:rsidR="00443315" w:rsidRPr="00CE1B3D">
        <w:t>.</w:t>
      </w:r>
    </w:p>
    <w:p w14:paraId="565D7E32" w14:textId="1FB566D7" w:rsidR="00863838" w:rsidRDefault="007F52BC" w:rsidP="00863838">
      <w:pPr>
        <w:pStyle w:val="Heading3"/>
      </w:pPr>
      <w:r w:rsidRPr="0032056B">
        <w:t>Credit transfers</w:t>
      </w:r>
      <w:r w:rsidR="00EF77C6">
        <w:rPr>
          <w:rStyle w:val="FootnoteReference"/>
        </w:rPr>
        <w:footnoteReference w:id="7"/>
      </w:r>
    </w:p>
    <w:p w14:paraId="6DE7F2EB" w14:textId="63931AFE" w:rsidR="00443315" w:rsidRPr="00CE1B3D" w:rsidRDefault="00576C08" w:rsidP="00443315">
      <w:r w:rsidRPr="00CE1B3D">
        <w:t xml:space="preserve">In </w:t>
      </w:r>
      <w:r>
        <w:t xml:space="preserve">the </w:t>
      </w:r>
      <w:r w:rsidR="00D8141E">
        <w:t>second half of 2024</w:t>
      </w:r>
      <w:r w:rsidR="001F033E" w:rsidRPr="00CE1B3D">
        <w:t xml:space="preserve"> </w:t>
      </w:r>
      <w:r w:rsidRPr="00CE1B3D">
        <w:t>the</w:t>
      </w:r>
      <w:r w:rsidR="005259A7" w:rsidRPr="00CE1B3D">
        <w:t xml:space="preserve"> number of credit transfers within the euro area</w:t>
      </w:r>
      <w:r w:rsidR="0039200E" w:rsidRPr="00CE1B3D">
        <w:t xml:space="preserve"> </w:t>
      </w:r>
      <w:r w:rsidR="00AA2098" w:rsidRPr="00CE1B3D">
        <w:t xml:space="preserve">increased by </w:t>
      </w:r>
      <w:r w:rsidR="002036C5">
        <w:t>7.3</w:t>
      </w:r>
      <w:r w:rsidR="00AA2098" w:rsidRPr="00CE1B3D">
        <w:t xml:space="preserve">% to </w:t>
      </w:r>
      <w:r w:rsidR="007B7E27">
        <w:t>16.2</w:t>
      </w:r>
      <w:r w:rsidR="009C1D9B">
        <w:t xml:space="preserve"> </w:t>
      </w:r>
      <w:r w:rsidR="00AA2098" w:rsidRPr="00CE1B3D">
        <w:t>billion</w:t>
      </w:r>
      <w:r w:rsidR="00642CCC">
        <w:t xml:space="preserve"> </w:t>
      </w:r>
      <w:r w:rsidR="00816691">
        <w:t>compared</w:t>
      </w:r>
      <w:r w:rsidR="00642CCC">
        <w:t xml:space="preserve"> with the </w:t>
      </w:r>
      <w:r w:rsidR="00D8141E">
        <w:t>second half of 2023</w:t>
      </w:r>
      <w:r w:rsidR="00D72DBA">
        <w:t>,</w:t>
      </w:r>
      <w:r w:rsidR="009C1D9B">
        <w:t xml:space="preserve"> </w:t>
      </w:r>
      <w:r w:rsidR="00E966B6">
        <w:t xml:space="preserve">and </w:t>
      </w:r>
      <w:r w:rsidR="00642CCC">
        <w:t>the corresponding</w:t>
      </w:r>
      <w:r w:rsidR="00470F94" w:rsidRPr="00CE1B3D">
        <w:t xml:space="preserve"> total value </w:t>
      </w:r>
      <w:r w:rsidR="00E966B6">
        <w:t>rose</w:t>
      </w:r>
      <w:r w:rsidR="00E966B6" w:rsidRPr="00CE1B3D">
        <w:t xml:space="preserve"> </w:t>
      </w:r>
      <w:r w:rsidR="00E038F1" w:rsidRPr="00CE1B3D">
        <w:t xml:space="preserve">by </w:t>
      </w:r>
      <w:r w:rsidR="002036C5">
        <w:t>3.6</w:t>
      </w:r>
      <w:r w:rsidR="00E038F1" w:rsidRPr="00CE1B3D">
        <w:t>% to €</w:t>
      </w:r>
      <w:r w:rsidR="007B7E27">
        <w:t>108.</w:t>
      </w:r>
      <w:r w:rsidR="002036C5">
        <w:t>3</w:t>
      </w:r>
      <w:r w:rsidR="009C1D9B">
        <w:t xml:space="preserve"> </w:t>
      </w:r>
      <w:r w:rsidR="00E038F1" w:rsidRPr="00CE1B3D">
        <w:t>trillion</w:t>
      </w:r>
      <w:r w:rsidR="001D77AD" w:rsidRPr="00CE1B3D">
        <w:t xml:space="preserve">. </w:t>
      </w:r>
      <w:r w:rsidR="003014BE">
        <w:t>As</w:t>
      </w:r>
      <w:r w:rsidR="00793C22" w:rsidRPr="00CE1B3D">
        <w:t xml:space="preserve"> </w:t>
      </w:r>
      <w:r w:rsidR="00C831D1">
        <w:t>higher-</w:t>
      </w:r>
      <w:r w:rsidR="00793C22" w:rsidRPr="00CE1B3D">
        <w:t xml:space="preserve">value payments </w:t>
      </w:r>
      <w:r w:rsidR="003014BE">
        <w:t>are</w:t>
      </w:r>
      <w:r w:rsidR="003014BE" w:rsidRPr="00CE1B3D">
        <w:t xml:space="preserve"> </w:t>
      </w:r>
      <w:r w:rsidR="00DA2680" w:rsidRPr="00CE1B3D">
        <w:t xml:space="preserve">usually made </w:t>
      </w:r>
      <w:r w:rsidR="003014BE">
        <w:t>by credit transfer</w:t>
      </w:r>
      <w:r w:rsidR="00536791">
        <w:rPr>
          <w:rStyle w:val="FootnoteReference"/>
        </w:rPr>
        <w:footnoteReference w:id="8"/>
      </w:r>
      <w:r w:rsidR="00DA2680" w:rsidRPr="00CE1B3D">
        <w:t>,</w:t>
      </w:r>
      <w:r w:rsidR="00642CCC">
        <w:t xml:space="preserve"> </w:t>
      </w:r>
      <w:r w:rsidR="005E4695">
        <w:t>they</w:t>
      </w:r>
      <w:r w:rsidR="00642CCC">
        <w:t xml:space="preserve"> </w:t>
      </w:r>
      <w:r w:rsidR="005165F8">
        <w:t>accounted for</w:t>
      </w:r>
      <w:r w:rsidR="00DA2680" w:rsidRPr="00CE1B3D">
        <w:t xml:space="preserve"> </w:t>
      </w:r>
      <w:r w:rsidR="007B7E27">
        <w:t>93</w:t>
      </w:r>
      <w:r w:rsidR="00DA2680" w:rsidRPr="00CE1B3D">
        <w:t>% of the total value of non-cash payment</w:t>
      </w:r>
      <w:r w:rsidR="00642CCC">
        <w:t>s.</w:t>
      </w:r>
      <w:r w:rsidR="00DA2680" w:rsidRPr="00CE1B3D">
        <w:t xml:space="preserve"> </w:t>
      </w:r>
      <w:r w:rsidR="00514F54">
        <w:t>T</w:t>
      </w:r>
      <w:r w:rsidR="009C6899" w:rsidRPr="009C6899">
        <w:t xml:space="preserve">he ratio of transactions initiated electronically </w:t>
      </w:r>
      <w:r w:rsidR="00642CCC">
        <w:t xml:space="preserve">to </w:t>
      </w:r>
      <w:r w:rsidR="007527D5">
        <w:t xml:space="preserve">those initiated using </w:t>
      </w:r>
      <w:r w:rsidR="00642CCC" w:rsidRPr="009C6899">
        <w:t>paper</w:t>
      </w:r>
      <w:r w:rsidR="007527D5">
        <w:t xml:space="preserve"> forms</w:t>
      </w:r>
      <w:r w:rsidR="009C6899" w:rsidRPr="009C6899">
        <w:t xml:space="preserve"> </w:t>
      </w:r>
      <w:r w:rsidR="00514F54">
        <w:t>was</w:t>
      </w:r>
      <w:r w:rsidR="00677964">
        <w:t xml:space="preserve"> </w:t>
      </w:r>
      <w:r w:rsidR="009C6899" w:rsidRPr="0080728E">
        <w:t xml:space="preserve">around </w:t>
      </w:r>
      <w:r w:rsidR="000321DE">
        <w:t>16</w:t>
      </w:r>
      <w:r w:rsidR="000E542B" w:rsidRPr="0080728E">
        <w:t xml:space="preserve"> to 1</w:t>
      </w:r>
      <w:r w:rsidR="00766E02" w:rsidRPr="0080728E">
        <w:t>, while</w:t>
      </w:r>
      <w:r w:rsidR="00766E02">
        <w:t xml:space="preserve"> in terms of value the ratio </w:t>
      </w:r>
      <w:r w:rsidR="00677964">
        <w:t>was</w:t>
      </w:r>
      <w:r w:rsidR="00766E02">
        <w:t xml:space="preserve"> around </w:t>
      </w:r>
      <w:r w:rsidR="007B7E27">
        <w:t>1</w:t>
      </w:r>
      <w:r w:rsidR="002036C5">
        <w:t>2</w:t>
      </w:r>
      <w:r w:rsidR="00766E02">
        <w:t xml:space="preserve"> to 1.</w:t>
      </w:r>
      <w:r w:rsidR="009C6899">
        <w:t xml:space="preserve"> </w:t>
      </w:r>
      <w:r w:rsidR="00443315" w:rsidRPr="00CE1B3D">
        <w:t xml:space="preserve">At </w:t>
      </w:r>
      <w:r w:rsidR="00642CCC">
        <w:t xml:space="preserve">the </w:t>
      </w:r>
      <w:r w:rsidR="00443315" w:rsidRPr="00CE1B3D">
        <w:t xml:space="preserve">national level, </w:t>
      </w:r>
      <w:r w:rsidR="000321DE">
        <w:t>Latvia</w:t>
      </w:r>
      <w:r w:rsidR="002449AE">
        <w:t xml:space="preserve"> </w:t>
      </w:r>
      <w:r w:rsidR="007B7E27">
        <w:t>continued to have</w:t>
      </w:r>
      <w:r w:rsidR="00642CCC">
        <w:t xml:space="preserve"> </w:t>
      </w:r>
      <w:r w:rsidR="00443315" w:rsidRPr="00CE1B3D">
        <w:t xml:space="preserve">the </w:t>
      </w:r>
      <w:r w:rsidR="00642CCC">
        <w:t>largest</w:t>
      </w:r>
      <w:r w:rsidR="00443315" w:rsidRPr="00CE1B3D">
        <w:t xml:space="preserve"> share of credit transfer</w:t>
      </w:r>
      <w:r w:rsidR="003014BE">
        <w:t>s</w:t>
      </w:r>
      <w:r w:rsidR="00443315" w:rsidRPr="00CE1B3D">
        <w:t xml:space="preserve"> as a percentage of the total number of non-cash payments </w:t>
      </w:r>
      <w:r w:rsidR="00642CCC">
        <w:t xml:space="preserve">in the </w:t>
      </w:r>
      <w:r w:rsidR="00D8141E">
        <w:t>second half of 2024</w:t>
      </w:r>
      <w:r w:rsidR="00443315" w:rsidRPr="00CE1B3D">
        <w:t xml:space="preserve">, at around </w:t>
      </w:r>
      <w:r w:rsidR="007B7E27">
        <w:t>36</w:t>
      </w:r>
      <w:r w:rsidR="00443315" w:rsidRPr="00EA45CA">
        <w:t>%</w:t>
      </w:r>
      <w:r w:rsidR="00A56B76">
        <w:t xml:space="preserve"> (see </w:t>
      </w:r>
      <w:r w:rsidR="00642CCC">
        <w:t>a</w:t>
      </w:r>
      <w:r w:rsidR="00A56B76">
        <w:t>nnex</w:t>
      </w:r>
      <w:r w:rsidR="002E79BC">
        <w:t xml:space="preserve">, </w:t>
      </w:r>
      <w:r w:rsidR="00642CCC">
        <w:t>T</w:t>
      </w:r>
      <w:r w:rsidR="002E79BC">
        <w:t xml:space="preserve">able </w:t>
      </w:r>
      <w:r w:rsidR="0080728E">
        <w:t>2</w:t>
      </w:r>
      <w:r w:rsidR="00A56B76">
        <w:t>)</w:t>
      </w:r>
      <w:r w:rsidR="00443315" w:rsidRPr="00CE1B3D">
        <w:t>.</w:t>
      </w:r>
    </w:p>
    <w:p w14:paraId="142A1C44" w14:textId="1B702E91" w:rsidR="00793C22" w:rsidRPr="00863838" w:rsidRDefault="00793C22" w:rsidP="00863838">
      <w:pPr>
        <w:pStyle w:val="Heading3"/>
      </w:pPr>
      <w:r w:rsidRPr="0032056B">
        <w:t>Direct debits</w:t>
      </w:r>
    </w:p>
    <w:p w14:paraId="0D827013" w14:textId="07196742" w:rsidR="00443315" w:rsidRDefault="00642CCC" w:rsidP="00443315">
      <w:r w:rsidRPr="00CE1B3D">
        <w:t xml:space="preserve">In </w:t>
      </w:r>
      <w:r>
        <w:t xml:space="preserve">the </w:t>
      </w:r>
      <w:r w:rsidR="00D8141E">
        <w:t>second half of 2024</w:t>
      </w:r>
      <w:r w:rsidRPr="00CE1B3D">
        <w:t xml:space="preserve"> the </w:t>
      </w:r>
      <w:r w:rsidR="003E5ADB" w:rsidRPr="00CE1B3D">
        <w:t xml:space="preserve">number of direct debits within the euro area </w:t>
      </w:r>
      <w:r w:rsidR="000321DE">
        <w:t>increased</w:t>
      </w:r>
      <w:r w:rsidR="00981D3D" w:rsidRPr="00CE1B3D">
        <w:t xml:space="preserve"> </w:t>
      </w:r>
      <w:r w:rsidR="00213FCA" w:rsidRPr="00CE1B3D">
        <w:t xml:space="preserve">by </w:t>
      </w:r>
      <w:r w:rsidR="007B7E27">
        <w:t>3.9</w:t>
      </w:r>
      <w:r w:rsidR="00213FCA" w:rsidRPr="00CE1B3D">
        <w:t xml:space="preserve">% to </w:t>
      </w:r>
      <w:r w:rsidR="007B7E27">
        <w:t>11.</w:t>
      </w:r>
      <w:r w:rsidR="002036C5">
        <w:t>4</w:t>
      </w:r>
      <w:r w:rsidR="00E60425">
        <w:t xml:space="preserve"> </w:t>
      </w:r>
      <w:r w:rsidR="00213FCA" w:rsidRPr="00CE1B3D">
        <w:t>billion</w:t>
      </w:r>
      <w:r w:rsidR="000E542B">
        <w:t xml:space="preserve"> compared </w:t>
      </w:r>
      <w:r>
        <w:t xml:space="preserve">with the </w:t>
      </w:r>
      <w:r w:rsidR="00D8141E">
        <w:t>second half of 2023</w:t>
      </w:r>
      <w:r w:rsidR="00825C99" w:rsidRPr="00CE1B3D">
        <w:t>,</w:t>
      </w:r>
      <w:r w:rsidR="0032349D" w:rsidRPr="00CE1B3D">
        <w:t xml:space="preserve"> </w:t>
      </w:r>
      <w:r>
        <w:t xml:space="preserve">and </w:t>
      </w:r>
      <w:r w:rsidR="0032349D" w:rsidRPr="00CE1B3D">
        <w:t xml:space="preserve">the </w:t>
      </w:r>
      <w:r w:rsidR="00734C05" w:rsidRPr="00CE1B3D">
        <w:t xml:space="preserve">corresponding </w:t>
      </w:r>
      <w:r w:rsidR="0032349D" w:rsidRPr="00CE1B3D">
        <w:t>total value</w:t>
      </w:r>
      <w:r w:rsidR="00B97B90" w:rsidRPr="00CE1B3D">
        <w:t xml:space="preserve"> </w:t>
      </w:r>
      <w:r>
        <w:t>rose</w:t>
      </w:r>
      <w:r w:rsidR="006A2672" w:rsidRPr="00CE1B3D">
        <w:t xml:space="preserve"> by </w:t>
      </w:r>
      <w:r w:rsidR="007B7E27">
        <w:t>8.</w:t>
      </w:r>
      <w:r w:rsidR="002036C5">
        <w:t>2</w:t>
      </w:r>
      <w:r w:rsidR="006A2672" w:rsidRPr="00CE1B3D">
        <w:t>% to €</w:t>
      </w:r>
      <w:r w:rsidR="007B7E27">
        <w:t>5.4</w:t>
      </w:r>
      <w:r w:rsidR="00E60425">
        <w:t xml:space="preserve"> </w:t>
      </w:r>
      <w:r w:rsidR="006A2672" w:rsidRPr="00CE1B3D">
        <w:t>trillion</w:t>
      </w:r>
      <w:r w:rsidR="00403A32" w:rsidRPr="00B9200C">
        <w:t>.</w:t>
      </w:r>
      <w:r w:rsidR="00733768" w:rsidRPr="00B9200C">
        <w:t xml:space="preserve"> </w:t>
      </w:r>
      <w:r>
        <w:t xml:space="preserve">Of the total number </w:t>
      </w:r>
      <w:r w:rsidRPr="00CE1B3D">
        <w:t>of direct debits</w:t>
      </w:r>
      <w:r>
        <w:t xml:space="preserve">, those </w:t>
      </w:r>
      <w:r w:rsidR="00EA2B74">
        <w:t xml:space="preserve">with an electronic mandate </w:t>
      </w:r>
      <w:r>
        <w:t xml:space="preserve">accounted for </w:t>
      </w:r>
      <w:r w:rsidR="002449AE">
        <w:t>12</w:t>
      </w:r>
      <w:r w:rsidR="0051637D">
        <w:t>%</w:t>
      </w:r>
      <w:r>
        <w:t xml:space="preserve"> whereas</w:t>
      </w:r>
      <w:r w:rsidR="0051637D">
        <w:t xml:space="preserve"> </w:t>
      </w:r>
      <w:r>
        <w:t xml:space="preserve">those with consent given in </w:t>
      </w:r>
      <w:r w:rsidR="00860AE5">
        <w:t xml:space="preserve">other </w:t>
      </w:r>
      <w:r>
        <w:t>form</w:t>
      </w:r>
      <w:r w:rsidR="00860AE5">
        <w:t>s</w:t>
      </w:r>
      <w:r>
        <w:t xml:space="preserve"> accounted for</w:t>
      </w:r>
      <w:r w:rsidR="0051637D">
        <w:t xml:space="preserve"> </w:t>
      </w:r>
      <w:r w:rsidR="002449AE">
        <w:t>88</w:t>
      </w:r>
      <w:r w:rsidR="0051637D">
        <w:t xml:space="preserve">%, while in terms of value the split was </w:t>
      </w:r>
      <w:r w:rsidR="007B7E27">
        <w:t>14</w:t>
      </w:r>
      <w:r w:rsidR="0051637D">
        <w:t xml:space="preserve">% </w:t>
      </w:r>
      <w:r>
        <w:t>to</w:t>
      </w:r>
      <w:r w:rsidR="0051637D">
        <w:t xml:space="preserve"> </w:t>
      </w:r>
      <w:r w:rsidR="007B7E27">
        <w:t>86</w:t>
      </w:r>
      <w:r w:rsidR="0051637D">
        <w:t>%.</w:t>
      </w:r>
      <w:r w:rsidR="00A56B76">
        <w:t xml:space="preserve"> </w:t>
      </w:r>
      <w:r w:rsidR="00443315" w:rsidRPr="00CE1B3D">
        <w:t xml:space="preserve">At </w:t>
      </w:r>
      <w:r w:rsidR="00105717">
        <w:t xml:space="preserve">the </w:t>
      </w:r>
      <w:r w:rsidR="00443315" w:rsidRPr="00CE1B3D">
        <w:t xml:space="preserve">national level, </w:t>
      </w:r>
      <w:r w:rsidR="00105717">
        <w:t xml:space="preserve">Germany </w:t>
      </w:r>
      <w:r w:rsidR="006058F7">
        <w:t xml:space="preserve">continued to </w:t>
      </w:r>
      <w:r w:rsidR="00105717">
        <w:t>ha</w:t>
      </w:r>
      <w:r w:rsidR="006058F7">
        <w:t>ve</w:t>
      </w:r>
      <w:r w:rsidR="00105717">
        <w:t xml:space="preserve"> </w:t>
      </w:r>
      <w:r w:rsidR="00443315" w:rsidRPr="00CE1B3D">
        <w:t xml:space="preserve">the </w:t>
      </w:r>
      <w:r w:rsidR="00105717">
        <w:t>largest</w:t>
      </w:r>
      <w:r w:rsidR="00443315" w:rsidRPr="00CE1B3D">
        <w:t xml:space="preserve"> share of direct debits </w:t>
      </w:r>
      <w:r w:rsidR="00443315" w:rsidRPr="00CE1B3D">
        <w:lastRenderedPageBreak/>
        <w:t>as a percentage of the total number of non-cash payments</w:t>
      </w:r>
      <w:r w:rsidR="00105717">
        <w:t xml:space="preserve"> in the </w:t>
      </w:r>
      <w:r w:rsidR="00D8141E">
        <w:t>second half of 2024</w:t>
      </w:r>
      <w:r w:rsidR="00443315" w:rsidRPr="00CE1B3D">
        <w:t xml:space="preserve">, at around </w:t>
      </w:r>
      <w:r w:rsidR="00AC660C">
        <w:t>3</w:t>
      </w:r>
      <w:r w:rsidR="000321DE">
        <w:t>2</w:t>
      </w:r>
      <w:r w:rsidR="00443315" w:rsidRPr="00CE1B3D">
        <w:t>%</w:t>
      </w:r>
      <w:r w:rsidR="00A56B76">
        <w:t xml:space="preserve"> (see </w:t>
      </w:r>
      <w:r w:rsidR="00105717">
        <w:t>a</w:t>
      </w:r>
      <w:r w:rsidR="00A56B76">
        <w:t>nnex</w:t>
      </w:r>
      <w:r w:rsidR="002E79BC">
        <w:t xml:space="preserve">, </w:t>
      </w:r>
      <w:r w:rsidR="00105717">
        <w:t>T</w:t>
      </w:r>
      <w:r w:rsidR="002E79BC">
        <w:t xml:space="preserve">able </w:t>
      </w:r>
      <w:r w:rsidR="00DD1131">
        <w:t>2</w:t>
      </w:r>
      <w:r w:rsidR="00A56B76">
        <w:t>)</w:t>
      </w:r>
      <w:r w:rsidR="00443315" w:rsidRPr="00CE1B3D">
        <w:t>.</w:t>
      </w:r>
    </w:p>
    <w:p w14:paraId="1CE6BA93" w14:textId="446281C7" w:rsidR="00283478" w:rsidRPr="00863838" w:rsidRDefault="00283478" w:rsidP="00863838">
      <w:pPr>
        <w:pStyle w:val="Heading3"/>
      </w:pPr>
      <w:r w:rsidRPr="0032056B">
        <w:t>E-money</w:t>
      </w:r>
      <w:r w:rsidR="007660F5" w:rsidRPr="0032056B">
        <w:t xml:space="preserve"> payments</w:t>
      </w:r>
    </w:p>
    <w:p w14:paraId="2A1D476C" w14:textId="0B1D68F4" w:rsidR="002B484C" w:rsidRDefault="00105717" w:rsidP="005711BE">
      <w:r w:rsidRPr="00CE1B3D">
        <w:t xml:space="preserve">In </w:t>
      </w:r>
      <w:r>
        <w:t xml:space="preserve">the </w:t>
      </w:r>
      <w:r w:rsidR="00D8141E">
        <w:t>second half of 2024</w:t>
      </w:r>
      <w:r w:rsidRPr="00CE1B3D">
        <w:t xml:space="preserve"> the </w:t>
      </w:r>
      <w:r w:rsidR="00283478">
        <w:t xml:space="preserve">number of e-money payment transactions </w:t>
      </w:r>
      <w:r>
        <w:t>with</w:t>
      </w:r>
      <w:r w:rsidR="00283478">
        <w:t xml:space="preserve">in the euro area </w:t>
      </w:r>
      <w:r w:rsidR="007B7E27">
        <w:t xml:space="preserve">increased </w:t>
      </w:r>
      <w:r w:rsidR="00283478">
        <w:t xml:space="preserve">by </w:t>
      </w:r>
      <w:r w:rsidR="007B7E27">
        <w:t>2.</w:t>
      </w:r>
      <w:r w:rsidR="002036C5">
        <w:t>6</w:t>
      </w:r>
      <w:r w:rsidR="00283478">
        <w:t xml:space="preserve">% to </w:t>
      </w:r>
      <w:r w:rsidR="007B7E27">
        <w:t>4.6</w:t>
      </w:r>
      <w:r w:rsidR="00283478">
        <w:t xml:space="preserve"> billion compared</w:t>
      </w:r>
      <w:r>
        <w:t xml:space="preserve"> with the </w:t>
      </w:r>
      <w:r w:rsidR="00D8141E">
        <w:t>second half of 2023</w:t>
      </w:r>
      <w:r w:rsidR="00283478">
        <w:t>,</w:t>
      </w:r>
      <w:r>
        <w:t xml:space="preserve"> </w:t>
      </w:r>
      <w:r w:rsidR="00E966B6">
        <w:t xml:space="preserve">and </w:t>
      </w:r>
      <w:r w:rsidR="00283478">
        <w:t xml:space="preserve">the corresponding value </w:t>
      </w:r>
      <w:r>
        <w:t>rose</w:t>
      </w:r>
      <w:r w:rsidR="00283478">
        <w:t xml:space="preserve"> by </w:t>
      </w:r>
      <w:r w:rsidR="007B7E27">
        <w:t>15.</w:t>
      </w:r>
      <w:r w:rsidR="002036C5">
        <w:t>8</w:t>
      </w:r>
      <w:r w:rsidR="00020EB5">
        <w:t xml:space="preserve">% to </w:t>
      </w:r>
      <w:r w:rsidR="00020EB5" w:rsidRPr="00CE1B3D">
        <w:t>€</w:t>
      </w:r>
      <w:r w:rsidR="00FF29F8">
        <w:t>0.3</w:t>
      </w:r>
      <w:r w:rsidR="00020EB5">
        <w:t xml:space="preserve"> </w:t>
      </w:r>
      <w:r w:rsidR="00977572">
        <w:t>trillion</w:t>
      </w:r>
      <w:r w:rsidR="00020EB5">
        <w:t>.</w:t>
      </w:r>
      <w:r w:rsidR="003C7530">
        <w:t xml:space="preserve"> </w:t>
      </w:r>
      <w:r>
        <w:t xml:space="preserve">Of the total number </w:t>
      </w:r>
      <w:r w:rsidR="003C7530">
        <w:t>of e-money payment transaction</w:t>
      </w:r>
      <w:r w:rsidR="00C41D62">
        <w:t>s</w:t>
      </w:r>
      <w:r>
        <w:t>, those made</w:t>
      </w:r>
      <w:r w:rsidR="003C7530">
        <w:t xml:space="preserve"> with</w:t>
      </w:r>
      <w:r w:rsidR="005165F8" w:rsidRPr="005165F8">
        <w:t xml:space="preserve"> </w:t>
      </w:r>
      <w:r w:rsidR="005165F8">
        <w:t>e-money accounts</w:t>
      </w:r>
      <w:r w:rsidR="005165F8" w:rsidRPr="00F17DF3">
        <w:t xml:space="preserve"> accounted for </w:t>
      </w:r>
      <w:r w:rsidR="007B7E27">
        <w:t>9</w:t>
      </w:r>
      <w:r w:rsidR="001F35A9">
        <w:t>5</w:t>
      </w:r>
      <w:r w:rsidR="005165F8">
        <w:t>%</w:t>
      </w:r>
      <w:r w:rsidR="003C7530">
        <w:t xml:space="preserve"> </w:t>
      </w:r>
      <w:r w:rsidR="005165F8">
        <w:t xml:space="preserve">whereas those made </w:t>
      </w:r>
      <w:r w:rsidR="005165F8" w:rsidRPr="00F17DF3">
        <w:t>with</w:t>
      </w:r>
      <w:r w:rsidR="005165F8">
        <w:t xml:space="preserve"> </w:t>
      </w:r>
      <w:r w:rsidR="003C7530">
        <w:t xml:space="preserve">cards on which e-money can be stored </w:t>
      </w:r>
      <w:r>
        <w:t xml:space="preserve">accounted </w:t>
      </w:r>
      <w:r w:rsidR="00ED03FB">
        <w:t xml:space="preserve">for </w:t>
      </w:r>
      <w:r w:rsidR="001F35A9">
        <w:t>5</w:t>
      </w:r>
      <w:r w:rsidR="003C7530">
        <w:t xml:space="preserve">%, while in terms of value the split was </w:t>
      </w:r>
      <w:r w:rsidR="007B7E27">
        <w:t>93</w:t>
      </w:r>
      <w:r w:rsidR="003C7530">
        <w:t xml:space="preserve">% </w:t>
      </w:r>
      <w:r>
        <w:t>to</w:t>
      </w:r>
      <w:r w:rsidR="003C7530">
        <w:t xml:space="preserve"> </w:t>
      </w:r>
      <w:r w:rsidR="007B7E27">
        <w:t>7</w:t>
      </w:r>
      <w:r w:rsidR="003C7530">
        <w:t>%</w:t>
      </w:r>
      <w:r w:rsidR="007734FC">
        <w:t>.</w:t>
      </w:r>
    </w:p>
    <w:p w14:paraId="5B909823" w14:textId="76D4645C" w:rsidR="000C44E4" w:rsidRPr="00FF79C8" w:rsidRDefault="000C44E4" w:rsidP="006E43B9">
      <w:pPr>
        <w:pStyle w:val="Heading2"/>
      </w:pPr>
      <w:r w:rsidRPr="0032056B">
        <w:t>Card</w:t>
      </w:r>
      <w:r w:rsidR="00275889" w:rsidRPr="0032056B">
        <w:t>s</w:t>
      </w:r>
      <w:r w:rsidRPr="0032056B">
        <w:t xml:space="preserve"> and accepting devices</w:t>
      </w:r>
    </w:p>
    <w:p w14:paraId="2C73AB92" w14:textId="1C6997D7" w:rsidR="00443315" w:rsidRPr="00CE1B3D" w:rsidRDefault="006F663F" w:rsidP="00443315">
      <w:r>
        <w:t>At</w:t>
      </w:r>
      <w:r w:rsidR="00890386">
        <w:t xml:space="preserve"> the </w:t>
      </w:r>
      <w:r>
        <w:t xml:space="preserve">end of the </w:t>
      </w:r>
      <w:r w:rsidR="00D8141E">
        <w:t>second half of 2024</w:t>
      </w:r>
      <w:r w:rsidR="00890386">
        <w:t xml:space="preserve"> t</w:t>
      </w:r>
      <w:r w:rsidR="00443315" w:rsidRPr="00CE1B3D">
        <w:t>he number of cards with a payment function</w:t>
      </w:r>
      <w:r w:rsidR="003A0DE2">
        <w:rPr>
          <w:rStyle w:val="FootnoteReference"/>
        </w:rPr>
        <w:footnoteReference w:id="9"/>
      </w:r>
      <w:r w:rsidR="00443315" w:rsidRPr="00CE1B3D">
        <w:t xml:space="preserve"> </w:t>
      </w:r>
      <w:r w:rsidR="00C1570D">
        <w:t xml:space="preserve">had </w:t>
      </w:r>
      <w:r w:rsidR="00443315" w:rsidRPr="00CE1B3D">
        <w:t xml:space="preserve">increased by </w:t>
      </w:r>
      <w:r w:rsidR="007B7E27">
        <w:t>8.</w:t>
      </w:r>
      <w:r w:rsidR="001F35A9">
        <w:t>2</w:t>
      </w:r>
      <w:r w:rsidR="00443315" w:rsidRPr="00CE1B3D">
        <w:t>% to</w:t>
      </w:r>
      <w:r w:rsidR="00585190">
        <w:t xml:space="preserve"> </w:t>
      </w:r>
      <w:r w:rsidR="007B7E27">
        <w:t>7</w:t>
      </w:r>
      <w:r w:rsidR="001F35A9">
        <w:t>50</w:t>
      </w:r>
      <w:r w:rsidR="007B7E27">
        <w:t>.</w:t>
      </w:r>
      <w:r w:rsidR="001F35A9">
        <w:t>0</w:t>
      </w:r>
      <w:r w:rsidR="00443315" w:rsidRPr="00CE1B3D">
        <w:t xml:space="preserve"> million</w:t>
      </w:r>
      <w:r w:rsidR="002B7B29">
        <w:t xml:space="preserve"> compared with the </w:t>
      </w:r>
      <w:r w:rsidR="007E5F19">
        <w:t>number</w:t>
      </w:r>
      <w:r>
        <w:t xml:space="preserve"> at the end of the </w:t>
      </w:r>
      <w:r w:rsidR="00D8141E">
        <w:t>second half of 2023</w:t>
      </w:r>
      <w:r w:rsidR="00443315" w:rsidRPr="00CE1B3D">
        <w:t xml:space="preserve">. With a total euro area population of </w:t>
      </w:r>
      <w:r w:rsidR="00ED03FB">
        <w:t xml:space="preserve">around </w:t>
      </w:r>
      <w:r w:rsidR="007B7E27">
        <w:t>353</w:t>
      </w:r>
      <w:r w:rsidR="00443315" w:rsidRPr="00CE1B3D">
        <w:t xml:space="preserve"> million, this </w:t>
      </w:r>
      <w:r w:rsidR="005165F8">
        <w:t xml:space="preserve">implies an </w:t>
      </w:r>
      <w:r w:rsidR="00ED72C2">
        <w:t>average</w:t>
      </w:r>
      <w:r w:rsidR="005165F8">
        <w:t xml:space="preserve"> of</w:t>
      </w:r>
      <w:r w:rsidR="00443315" w:rsidRPr="00CE1B3D">
        <w:t xml:space="preserve"> </w:t>
      </w:r>
      <w:r w:rsidR="007B7E27">
        <w:t>2.1</w:t>
      </w:r>
      <w:r w:rsidR="00443315" w:rsidRPr="00CE1B3D">
        <w:rPr>
          <w:color w:val="191919"/>
          <w:lang w:val="en"/>
        </w:rPr>
        <w:t xml:space="preserve"> </w:t>
      </w:r>
      <w:r w:rsidR="00443315" w:rsidRPr="00CE1B3D">
        <w:t>payment cards per euro area inhabitant.</w:t>
      </w:r>
    </w:p>
    <w:p w14:paraId="1C77B8D0" w14:textId="1051A9E4" w:rsidR="00556FCF" w:rsidRDefault="004947A5" w:rsidP="005259A7">
      <w:r>
        <w:t>At the end of</w:t>
      </w:r>
      <w:r w:rsidR="005711BE">
        <w:t xml:space="preserve"> </w:t>
      </w:r>
      <w:r w:rsidR="00890386">
        <w:t xml:space="preserve">the </w:t>
      </w:r>
      <w:r w:rsidR="00D8141E">
        <w:t>second half of 2024</w:t>
      </w:r>
      <w:r w:rsidR="005711BE">
        <w:t xml:space="preserve"> t</w:t>
      </w:r>
      <w:r w:rsidR="005259A7" w:rsidRPr="00CE1B3D">
        <w:t>he total number of automated teller machines (ATMs) in the euro area</w:t>
      </w:r>
      <w:r w:rsidR="00EC51FF" w:rsidRPr="00CE1B3D">
        <w:t xml:space="preserve"> </w:t>
      </w:r>
      <w:r w:rsidR="00CF473E">
        <w:t xml:space="preserve">had </w:t>
      </w:r>
      <w:r w:rsidR="00B62BAD" w:rsidRPr="00CE1B3D">
        <w:t xml:space="preserve">decreased </w:t>
      </w:r>
      <w:r w:rsidR="00B62BAD" w:rsidRPr="000C593D">
        <w:t xml:space="preserve">by </w:t>
      </w:r>
      <w:r w:rsidR="007B7E27">
        <w:t>3.</w:t>
      </w:r>
      <w:r w:rsidR="001F35A9">
        <w:t>1</w:t>
      </w:r>
      <w:r w:rsidR="00244F74">
        <w:t>%</w:t>
      </w:r>
      <w:r w:rsidR="00B62BAD" w:rsidRPr="00593BC1">
        <w:t xml:space="preserve"> to </w:t>
      </w:r>
      <w:r w:rsidR="00585190">
        <w:t xml:space="preserve">around </w:t>
      </w:r>
      <w:r w:rsidR="007B7E27">
        <w:t>25</w:t>
      </w:r>
      <w:r w:rsidR="001F35A9">
        <w:t>3</w:t>
      </w:r>
      <w:r w:rsidR="007B7E27">
        <w:t>.</w:t>
      </w:r>
      <w:r w:rsidR="001F35A9">
        <w:t>7</w:t>
      </w:r>
      <w:r w:rsidR="00F07A9C">
        <w:t xml:space="preserve"> thousand</w:t>
      </w:r>
      <w:r w:rsidR="0094325C">
        <w:t xml:space="preserve"> compared with the </w:t>
      </w:r>
      <w:r w:rsidR="007E5F19">
        <w:t>number</w:t>
      </w:r>
      <w:r w:rsidR="0094325C">
        <w:t xml:space="preserve"> at the end of the </w:t>
      </w:r>
      <w:r w:rsidR="00D8141E">
        <w:t>second half of 2023</w:t>
      </w:r>
      <w:r w:rsidR="00556FCF">
        <w:t>.</w:t>
      </w:r>
      <w:r w:rsidR="00114A4D">
        <w:t xml:space="preserve"> </w:t>
      </w:r>
      <w:r w:rsidR="00890386">
        <w:t>Of these</w:t>
      </w:r>
      <w:r w:rsidR="00114A4D">
        <w:t xml:space="preserve">, </w:t>
      </w:r>
      <w:r w:rsidR="007B7E27">
        <w:t>33</w:t>
      </w:r>
      <w:r w:rsidR="00890386">
        <w:t>% accept</w:t>
      </w:r>
      <w:r w:rsidR="00714D18">
        <w:t>ed</w:t>
      </w:r>
      <w:r w:rsidR="00890386">
        <w:t xml:space="preserve"> </w:t>
      </w:r>
      <w:r w:rsidR="00114A4D">
        <w:t>contactless transaction</w:t>
      </w:r>
      <w:r w:rsidR="00D630A9">
        <w:t>s</w:t>
      </w:r>
      <w:r w:rsidR="00593BC1">
        <w:t>.</w:t>
      </w:r>
      <w:r w:rsidR="00556FCF">
        <w:t xml:space="preserve"> </w:t>
      </w:r>
    </w:p>
    <w:p w14:paraId="70E3ECC1" w14:textId="7D6DC2AF" w:rsidR="002E79BC" w:rsidRPr="00863838" w:rsidRDefault="0094325C" w:rsidP="006F3713">
      <w:bookmarkStart w:id="10" w:name="_Hlk157087637"/>
      <w:r>
        <w:t xml:space="preserve">At the end of the </w:t>
      </w:r>
      <w:r w:rsidR="00D8141E">
        <w:t>second half of 2024</w:t>
      </w:r>
      <w:r>
        <w:t xml:space="preserve"> t</w:t>
      </w:r>
      <w:r w:rsidR="005259A7" w:rsidRPr="00CE1B3D">
        <w:t xml:space="preserve">he </w:t>
      </w:r>
      <w:r w:rsidR="00D55198">
        <w:t xml:space="preserve">total </w:t>
      </w:r>
      <w:r w:rsidR="005259A7" w:rsidRPr="00CE1B3D">
        <w:t xml:space="preserve">number of </w:t>
      </w:r>
      <w:proofErr w:type="gramStart"/>
      <w:r w:rsidR="00A8448B">
        <w:t>point</w:t>
      </w:r>
      <w:proofErr w:type="gramEnd"/>
      <w:r w:rsidR="00A8448B">
        <w:t xml:space="preserve"> of sale (</w:t>
      </w:r>
      <w:r w:rsidR="005259A7" w:rsidRPr="00CE1B3D">
        <w:t>POS</w:t>
      </w:r>
      <w:r w:rsidR="00A8448B">
        <w:t>)</w:t>
      </w:r>
      <w:r w:rsidR="005259A7" w:rsidRPr="00CE1B3D">
        <w:t xml:space="preserve"> terminals</w:t>
      </w:r>
      <w:r w:rsidR="00E31465" w:rsidRPr="00CE1B3D">
        <w:t xml:space="preserve"> </w:t>
      </w:r>
      <w:r w:rsidR="00CF473E">
        <w:t xml:space="preserve">had </w:t>
      </w:r>
      <w:r w:rsidR="00E31465" w:rsidRPr="00CE1B3D">
        <w:t xml:space="preserve">increased by </w:t>
      </w:r>
      <w:r w:rsidR="001F35A9">
        <w:t>7.9</w:t>
      </w:r>
      <w:r w:rsidR="00E31465" w:rsidRPr="00DD1131">
        <w:t xml:space="preserve">% to </w:t>
      </w:r>
      <w:r w:rsidR="00F07A9C">
        <w:t xml:space="preserve">around </w:t>
      </w:r>
      <w:r w:rsidR="001F35A9">
        <w:t>20.7</w:t>
      </w:r>
      <w:r w:rsidR="00E31465" w:rsidRPr="00CE1B3D">
        <w:t xml:space="preserve"> million</w:t>
      </w:r>
      <w:r w:rsidR="00010C33">
        <w:rPr>
          <w:rStyle w:val="FootnoteReference"/>
        </w:rPr>
        <w:footnoteReference w:id="10"/>
      </w:r>
      <w:r w:rsidR="009E6F7E">
        <w:t xml:space="preserve"> compared </w:t>
      </w:r>
      <w:r>
        <w:t xml:space="preserve">with the </w:t>
      </w:r>
      <w:r w:rsidR="00477120">
        <w:t xml:space="preserve">corresponding </w:t>
      </w:r>
      <w:r w:rsidR="007E5F19">
        <w:t>number</w:t>
      </w:r>
      <w:r>
        <w:t xml:space="preserve"> at the end of the </w:t>
      </w:r>
      <w:r w:rsidR="00D8141E">
        <w:t>second half of 2023</w:t>
      </w:r>
      <w:r w:rsidR="00E31465" w:rsidRPr="00CE1B3D">
        <w:t>.</w:t>
      </w:r>
      <w:r w:rsidR="00D630A9">
        <w:t xml:space="preserve"> </w:t>
      </w:r>
      <w:r w:rsidR="001F73B7">
        <w:t>Of these</w:t>
      </w:r>
      <w:r w:rsidR="00810AE6">
        <w:t xml:space="preserve"> </w:t>
      </w:r>
      <w:r w:rsidR="00810AE6" w:rsidRPr="008D0B95">
        <w:t>terminals</w:t>
      </w:r>
      <w:r w:rsidR="00D630A9" w:rsidRPr="008D0B95">
        <w:t xml:space="preserve">, </w:t>
      </w:r>
      <w:r w:rsidR="001F35A9">
        <w:t>92</w:t>
      </w:r>
      <w:r w:rsidR="001F73B7" w:rsidRPr="00AE6BEE">
        <w:t>%</w:t>
      </w:r>
      <w:r w:rsidR="001F73B7">
        <w:t xml:space="preserve"> accept</w:t>
      </w:r>
      <w:r w:rsidR="00714D18">
        <w:t>ed</w:t>
      </w:r>
      <w:r w:rsidR="001F73B7">
        <w:t xml:space="preserve"> </w:t>
      </w:r>
      <w:r w:rsidR="00D630A9">
        <w:t>contactless transactions</w:t>
      </w:r>
      <w:r w:rsidR="00D630A9" w:rsidRPr="00AE6BEE">
        <w:t>.</w:t>
      </w:r>
    </w:p>
    <w:bookmarkEnd w:id="10"/>
    <w:p w14:paraId="10E7613D" w14:textId="1C255373" w:rsidR="00443315" w:rsidRPr="00FF74A6" w:rsidRDefault="006E170B" w:rsidP="00FF74A6">
      <w:pPr>
        <w:pStyle w:val="Heading2"/>
      </w:pPr>
      <w:r>
        <w:t>P</w:t>
      </w:r>
      <w:r w:rsidR="00443315" w:rsidRPr="00FF74A6">
        <w:t>ayment systems</w:t>
      </w:r>
      <w:r w:rsidR="008842D2">
        <w:rPr>
          <w:rStyle w:val="FootnoteReference"/>
        </w:rPr>
        <w:footnoteReference w:id="11"/>
      </w:r>
    </w:p>
    <w:p w14:paraId="4322616C" w14:textId="57D1D069" w:rsidR="006E170B" w:rsidRPr="00863838" w:rsidRDefault="006E170B" w:rsidP="00863838">
      <w:pPr>
        <w:pStyle w:val="Heading3"/>
      </w:pPr>
      <w:bookmarkStart w:id="11" w:name="_Hlk147155234"/>
      <w:r w:rsidRPr="00863838">
        <w:t xml:space="preserve">Retail payment systems </w:t>
      </w:r>
    </w:p>
    <w:p w14:paraId="31606611" w14:textId="74E241CF" w:rsidR="00FF74A6" w:rsidRDefault="00FF74A6" w:rsidP="006F3713">
      <w:r w:rsidRPr="00693249">
        <w:t xml:space="preserve">Retail payment systems </w:t>
      </w:r>
      <w:r w:rsidR="00477120">
        <w:t xml:space="preserve">located </w:t>
      </w:r>
      <w:r w:rsidRPr="00693249">
        <w:t>in the euro area handle mainly payments that are made by individuals</w:t>
      </w:r>
      <w:r>
        <w:t xml:space="preserve"> and businesses</w:t>
      </w:r>
      <w:r w:rsidRPr="00693249">
        <w:t>, with a relatively low value</w:t>
      </w:r>
      <w:r>
        <w:t xml:space="preserve"> </w:t>
      </w:r>
      <w:r w:rsidRPr="00693249">
        <w:t>and</w:t>
      </w:r>
      <w:r>
        <w:t xml:space="preserve"> </w:t>
      </w:r>
      <w:r w:rsidRPr="00693249">
        <w:t>high volume</w:t>
      </w:r>
      <w:r w:rsidRPr="009B3222">
        <w:t xml:space="preserve"> </w:t>
      </w:r>
      <w:r>
        <w:t>overall</w:t>
      </w:r>
      <w:r w:rsidRPr="00693249">
        <w:t>.</w:t>
      </w:r>
      <w:bookmarkEnd w:id="11"/>
    </w:p>
    <w:p w14:paraId="492074A7" w14:textId="2B9C011E" w:rsidR="009931E6" w:rsidRPr="00CE1B3D" w:rsidRDefault="009931E6" w:rsidP="006F3713">
      <w:r w:rsidRPr="00CE1B3D">
        <w:lastRenderedPageBreak/>
        <w:t xml:space="preserve">In </w:t>
      </w:r>
      <w:r w:rsidR="008C092B">
        <w:t xml:space="preserve">the </w:t>
      </w:r>
      <w:r w:rsidR="00D8141E">
        <w:t>second half of 2024</w:t>
      </w:r>
      <w:r w:rsidR="00660F77">
        <w:t>,</w:t>
      </w:r>
      <w:r w:rsidRPr="00CE1B3D">
        <w:t xml:space="preserve"> </w:t>
      </w:r>
      <w:r w:rsidR="00BB6456">
        <w:t>3</w:t>
      </w:r>
      <w:r w:rsidR="00977572">
        <w:t>4</w:t>
      </w:r>
      <w:r w:rsidR="00E3446A" w:rsidRPr="00CE1B3D">
        <w:t xml:space="preserve"> </w:t>
      </w:r>
      <w:r w:rsidRPr="00CE1B3D">
        <w:t xml:space="preserve">retail payment systems within the euro area </w:t>
      </w:r>
      <w:r w:rsidR="00D07395">
        <w:t>processed</w:t>
      </w:r>
      <w:r w:rsidRPr="00CE1B3D">
        <w:t xml:space="preserve"> </w:t>
      </w:r>
      <w:r w:rsidRPr="00AE1452">
        <w:t xml:space="preserve">around </w:t>
      </w:r>
      <w:r w:rsidR="00E67302">
        <w:t>56.1</w:t>
      </w:r>
      <w:r w:rsidR="00640467" w:rsidRPr="00617EB2">
        <w:t xml:space="preserve"> billion </w:t>
      </w:r>
      <w:r w:rsidRPr="00617EB2">
        <w:t xml:space="preserve">transactions with a combined value of </w:t>
      </w:r>
      <w:r w:rsidR="00481C10" w:rsidRPr="00617EB2">
        <w:t>€</w:t>
      </w:r>
      <w:r w:rsidR="00E67302">
        <w:t>26.4</w:t>
      </w:r>
      <w:r w:rsidR="00481C10" w:rsidRPr="00CE1B3D">
        <w:t xml:space="preserve"> trillion</w:t>
      </w:r>
      <w:r w:rsidR="009B3222">
        <w:t>.</w:t>
      </w:r>
      <w:r w:rsidR="009E6F7E">
        <w:t xml:space="preserve"> </w:t>
      </w:r>
      <w:r w:rsidR="00E444A0">
        <w:t xml:space="preserve">Instant credit transfers accounted for </w:t>
      </w:r>
      <w:r w:rsidR="00046730">
        <w:t>16</w:t>
      </w:r>
      <w:r w:rsidR="009E6F7E" w:rsidRPr="00C01473">
        <w:t>%</w:t>
      </w:r>
      <w:r w:rsidR="00E444A0">
        <w:t xml:space="preserve"> </w:t>
      </w:r>
      <w:r w:rsidR="008C092B">
        <w:t>of</w:t>
      </w:r>
      <w:r w:rsidR="00C41D62">
        <w:t xml:space="preserve"> the </w:t>
      </w:r>
      <w:r w:rsidR="00E444A0">
        <w:t xml:space="preserve">total number and </w:t>
      </w:r>
      <w:r w:rsidR="009E6F7E">
        <w:t xml:space="preserve">for </w:t>
      </w:r>
      <w:r w:rsidR="00977572">
        <w:t>4</w:t>
      </w:r>
      <w:r w:rsidR="00C41D62">
        <w:t xml:space="preserve">% </w:t>
      </w:r>
      <w:r w:rsidR="008C092B">
        <w:t>of</w:t>
      </w:r>
      <w:r w:rsidR="00E444A0">
        <w:t xml:space="preserve"> the total value</w:t>
      </w:r>
      <w:r w:rsidR="00C41D62">
        <w:t xml:space="preserve"> of </w:t>
      </w:r>
      <w:r w:rsidR="006373A2">
        <w:t>credit transfer</w:t>
      </w:r>
      <w:r w:rsidR="00C41D62">
        <w:t xml:space="preserve"> transactions</w:t>
      </w:r>
      <w:r w:rsidR="004F1646">
        <w:t xml:space="preserve"> processed by euro area retail payment systems</w:t>
      </w:r>
      <w:r w:rsidR="00E444A0">
        <w:t>.</w:t>
      </w:r>
    </w:p>
    <w:p w14:paraId="217363A0" w14:textId="6356FDE0" w:rsidR="00845F49" w:rsidRDefault="00E0431C" w:rsidP="00B92AA0">
      <w:r>
        <w:rPr>
          <w:rStyle w:val="ui-provider"/>
        </w:rPr>
        <w:t xml:space="preserve">Retail </w:t>
      </w:r>
      <w:r w:rsidR="004C1892">
        <w:rPr>
          <w:rStyle w:val="ui-provider"/>
        </w:rPr>
        <w:t xml:space="preserve">payment systems located in the euro area differ significantly in terms of type, size and geographical scope of transactions they process. </w:t>
      </w:r>
      <w:r w:rsidR="009931E6" w:rsidRPr="00CE1B3D">
        <w:t xml:space="preserve">The three largest systems </w:t>
      </w:r>
      <w:r w:rsidR="00320F30" w:rsidRPr="00CE1B3D">
        <w:t>(</w:t>
      </w:r>
      <w:r w:rsidR="00FF42A4">
        <w:t>MCMS</w:t>
      </w:r>
      <w:r w:rsidR="00477120">
        <w:rPr>
          <w:rStyle w:val="FootnoteReference"/>
        </w:rPr>
        <w:footnoteReference w:id="12"/>
      </w:r>
      <w:r w:rsidR="00A6039C">
        <w:t>,</w:t>
      </w:r>
      <w:r w:rsidR="00FF42A4">
        <w:t xml:space="preserve"> </w:t>
      </w:r>
      <w:r w:rsidR="00320F30" w:rsidRPr="00CE1B3D">
        <w:t>STEP2-T</w:t>
      </w:r>
      <w:r w:rsidR="002A10EF" w:rsidRPr="00CE1B3D">
        <w:rPr>
          <w:rStyle w:val="FootnoteReference"/>
        </w:rPr>
        <w:footnoteReference w:id="13"/>
      </w:r>
      <w:r w:rsidR="009931E6" w:rsidRPr="00CE1B3D">
        <w:t xml:space="preserve"> </w:t>
      </w:r>
      <w:r w:rsidR="00FF42A4">
        <w:t xml:space="preserve">and </w:t>
      </w:r>
      <w:r w:rsidR="00A258FF" w:rsidRPr="00CE1B3D">
        <w:t>CORE</w:t>
      </w:r>
      <w:r w:rsidR="0050295C" w:rsidRPr="00CE1B3D">
        <w:t xml:space="preserve"> </w:t>
      </w:r>
      <w:r w:rsidR="001D44E0">
        <w:t>(</w:t>
      </w:r>
      <w:r w:rsidR="0050295C" w:rsidRPr="00CE1B3D">
        <w:t>France</w:t>
      </w:r>
      <w:r w:rsidR="001D44E0">
        <w:t>)</w:t>
      </w:r>
      <w:r w:rsidR="00A258FF" w:rsidRPr="00CE1B3D">
        <w:t>)</w:t>
      </w:r>
      <w:r w:rsidR="009931E6" w:rsidRPr="00CE1B3D">
        <w:t xml:space="preserve"> </w:t>
      </w:r>
      <w:r w:rsidR="009931E6" w:rsidRPr="008D0B95">
        <w:t xml:space="preserve">processed </w:t>
      </w:r>
      <w:r w:rsidR="00046730">
        <w:t>65</w:t>
      </w:r>
      <w:r w:rsidR="00A92141" w:rsidRPr="008D0B95">
        <w:t xml:space="preserve">% </w:t>
      </w:r>
      <w:r w:rsidR="009931E6" w:rsidRPr="008D0B95">
        <w:t xml:space="preserve">of the volume and </w:t>
      </w:r>
      <w:r w:rsidR="007C7591">
        <w:t>62</w:t>
      </w:r>
      <w:r w:rsidR="00574ADB" w:rsidRPr="008D0B95">
        <w:t xml:space="preserve">% </w:t>
      </w:r>
      <w:r w:rsidR="009931E6" w:rsidRPr="008D0B95">
        <w:t xml:space="preserve">of the value of all transactions processed by </w:t>
      </w:r>
      <w:r>
        <w:t xml:space="preserve">the </w:t>
      </w:r>
      <w:r w:rsidR="009931E6" w:rsidRPr="008D0B95">
        <w:t>retail payment sy</w:t>
      </w:r>
      <w:r w:rsidR="009931E6" w:rsidRPr="00CE1B3D">
        <w:t>stems</w:t>
      </w:r>
      <w:r>
        <w:t xml:space="preserve"> located in the </w:t>
      </w:r>
      <w:r w:rsidRPr="008D0B95">
        <w:t>euro area</w:t>
      </w:r>
      <w:r w:rsidR="00A66FC0" w:rsidRPr="00A66FC0">
        <w:t xml:space="preserve"> </w:t>
      </w:r>
      <w:r w:rsidR="00A66FC0" w:rsidRPr="00CE1B3D">
        <w:t>in</w:t>
      </w:r>
      <w:r w:rsidR="00A66FC0">
        <w:t xml:space="preserve"> the </w:t>
      </w:r>
      <w:r w:rsidR="00D8141E">
        <w:t>second half of 2024</w:t>
      </w:r>
      <w:r w:rsidR="009931E6" w:rsidRPr="00CE1B3D">
        <w:t>.</w:t>
      </w:r>
    </w:p>
    <w:p w14:paraId="28168186" w14:textId="36CD62F3" w:rsidR="00FF74A6" w:rsidRPr="00CE1B3D" w:rsidRDefault="00FF74A6" w:rsidP="00FF74A6">
      <w:pPr>
        <w:pStyle w:val="Chartright-Heading"/>
      </w:pPr>
      <w:r w:rsidRPr="00CE1B3D">
        <w:rPr>
          <w:b/>
          <w:bCs/>
        </w:rPr>
        <w:lastRenderedPageBreak/>
        <w:t>Chart 2</w:t>
      </w:r>
      <w:r w:rsidRPr="00CE1B3D">
        <w:rPr>
          <w:b/>
          <w:bCs/>
        </w:rPr>
        <w:br/>
      </w:r>
      <w:r w:rsidR="0079090F">
        <w:t>Main r</w:t>
      </w:r>
      <w:r>
        <w:t>etail p</w:t>
      </w:r>
      <w:r w:rsidRPr="00CE1B3D">
        <w:t xml:space="preserve">ayment systems </w:t>
      </w:r>
      <w:r w:rsidR="00BF2F28">
        <w:t xml:space="preserve">located </w:t>
      </w:r>
      <w:r w:rsidRPr="00CE1B3D">
        <w:t>in the euro area</w:t>
      </w:r>
      <w:r w:rsidR="00C05589">
        <w:t xml:space="preserve">, </w:t>
      </w:r>
      <w:r w:rsidR="002868EE">
        <w:t>values and numbers of transactions processed</w:t>
      </w:r>
      <w:r w:rsidRPr="00CE1B3D">
        <w:t xml:space="preserve"> in </w:t>
      </w:r>
      <w:r>
        <w:t xml:space="preserve">the </w:t>
      </w:r>
      <w:r w:rsidR="00D8141E">
        <w:t>second half of 2024</w:t>
      </w:r>
    </w:p>
    <w:p w14:paraId="65907B5E" w14:textId="1D594B60" w:rsidR="00083B31" w:rsidRPr="002B48F8" w:rsidRDefault="00FF74A6" w:rsidP="00C9362E">
      <w:pPr>
        <w:pStyle w:val="Chartright-Measure"/>
      </w:pPr>
      <w:r w:rsidRPr="00CE1B3D">
        <w:t>(value of transactions in EUR trillions and number of transactions in billions)</w:t>
      </w:r>
    </w:p>
    <w:p w14:paraId="530A7F82" w14:textId="44F3212C" w:rsidR="005932D8" w:rsidRPr="00DF43FB" w:rsidRDefault="00D60846" w:rsidP="00C9362E">
      <w:pPr>
        <w:pStyle w:val="Chartright-Picture"/>
      </w:pPr>
      <w:r w:rsidRPr="00D60846">
        <w:rPr>
          <w:noProof/>
        </w:rPr>
        <w:drawing>
          <wp:inline distT="0" distB="0" distL="0" distR="0" wp14:anchorId="005A855E" wp14:editId="21BDE810">
            <wp:extent cx="4953000" cy="5537200"/>
            <wp:effectExtent l="0" t="0" r="0" b="6350"/>
            <wp:docPr id="50122230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5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A9270" w14:textId="77777777" w:rsidR="005932D8" w:rsidRDefault="005932D8" w:rsidP="005932D8">
      <w:pPr>
        <w:pStyle w:val="Chartright-SourcesNotes"/>
      </w:pPr>
      <w:r>
        <w:t>Source: ECB.</w:t>
      </w:r>
    </w:p>
    <w:p w14:paraId="0ACCB8CF" w14:textId="34569DAE" w:rsidR="00FF74A6" w:rsidRPr="00647C61" w:rsidRDefault="00647C61" w:rsidP="00B92AA0">
      <w:pPr>
        <w:rPr>
          <w:rStyle w:val="Hyperlink"/>
        </w:rPr>
      </w:pPr>
      <w:r>
        <w:rPr>
          <w:rStyle w:val="Hyperlink"/>
          <w:color w:val="328DD2"/>
          <w:szCs w:val="22"/>
          <w:lang w:val="en"/>
        </w:rPr>
        <w:fldChar w:fldCharType="begin"/>
      </w:r>
      <w:r w:rsidRPr="00083B31">
        <w:rPr>
          <w:rStyle w:val="Hyperlink"/>
          <w:color w:val="328DD2"/>
          <w:szCs w:val="22"/>
          <w:lang w:val="en"/>
        </w:rPr>
        <w:instrText xml:space="preserve"> HYPERLINK "https://data.ecb.europa.eu/search-results?searchTerm=%20PST.H.*.W0.1._T._T.RPS*.N.*.Z01%20OR%20PST.H.*.W0.1._T._T.STEP2*.N.*.Z01%20OR%20PST.H.*.W0.1._T._T.IRT1.N.*.Z01" </w:instrText>
      </w:r>
      <w:r>
        <w:rPr>
          <w:rStyle w:val="Hyperlink"/>
          <w:color w:val="328DD2"/>
          <w:szCs w:val="22"/>
          <w:lang w:val="en"/>
        </w:rPr>
      </w:r>
      <w:r>
        <w:rPr>
          <w:rStyle w:val="Hyperlink"/>
          <w:color w:val="328DD2"/>
          <w:szCs w:val="22"/>
          <w:lang w:val="en"/>
        </w:rPr>
        <w:fldChar w:fldCharType="separate"/>
      </w:r>
      <w:r w:rsidR="00FF74A6" w:rsidRPr="00083B31">
        <w:rPr>
          <w:rStyle w:val="Hyperlink"/>
          <w:color w:val="328DD2"/>
          <w:szCs w:val="22"/>
          <w:lang w:val="en"/>
        </w:rPr>
        <w:t>Data on retail payment systems</w:t>
      </w:r>
    </w:p>
    <w:p w14:paraId="4E7EE506" w14:textId="2AA6EE39" w:rsidR="00A56B76" w:rsidRPr="00863838" w:rsidRDefault="00647C61" w:rsidP="00863838">
      <w:pPr>
        <w:pStyle w:val="Heading3"/>
      </w:pPr>
      <w:r>
        <w:rPr>
          <w:color w:val="394AC7"/>
          <w:sz w:val="20"/>
          <w:szCs w:val="20"/>
          <w:u w:val="single"/>
        </w:rPr>
        <w:fldChar w:fldCharType="end"/>
      </w:r>
      <w:r w:rsidR="00443315" w:rsidRPr="00863838">
        <w:t xml:space="preserve">Large-value payment systems </w:t>
      </w:r>
    </w:p>
    <w:p w14:paraId="393ED554" w14:textId="370D01BD" w:rsidR="00FF74A6" w:rsidRDefault="00FF74A6" w:rsidP="00B92AA0">
      <w:r w:rsidRPr="00693249">
        <w:lastRenderedPageBreak/>
        <w:t xml:space="preserve">Large-value payment systems </w:t>
      </w:r>
      <w:r w:rsidR="00663385" w:rsidRPr="00663385">
        <w:t xml:space="preserve">form the backbone of the euro area financial market infrastructure </w:t>
      </w:r>
      <w:r w:rsidR="00663385">
        <w:t xml:space="preserve">and </w:t>
      </w:r>
      <w:r w:rsidRPr="00693249">
        <w:t xml:space="preserve">are designed primarily to process large-value and/or high-priority payments made between </w:t>
      </w:r>
      <w:r>
        <w:t xml:space="preserve">system </w:t>
      </w:r>
      <w:r w:rsidRPr="00693249">
        <w:t>participants for their own account or on behalf of their customers. </w:t>
      </w:r>
      <w:r w:rsidR="000E4460" w:rsidRPr="00693249" w:rsidDel="000E4460">
        <w:t xml:space="preserve"> </w:t>
      </w:r>
    </w:p>
    <w:p w14:paraId="39D62371" w14:textId="643B36A9" w:rsidR="009931E6" w:rsidRDefault="00556FCF" w:rsidP="00B92AA0">
      <w:r>
        <w:t>In</w:t>
      </w:r>
      <w:r w:rsidR="009931E6" w:rsidRPr="00CE1B3D">
        <w:t xml:space="preserve"> </w:t>
      </w:r>
      <w:r w:rsidR="008C092B">
        <w:t xml:space="preserve">the </w:t>
      </w:r>
      <w:r w:rsidR="00D8141E">
        <w:t>second half of 2024</w:t>
      </w:r>
      <w:r w:rsidR="00B32DDF" w:rsidRPr="00CE1B3D">
        <w:t>,</w:t>
      </w:r>
      <w:r w:rsidR="009931E6" w:rsidRPr="00CE1B3D">
        <w:t xml:space="preserve"> </w:t>
      </w:r>
      <w:r w:rsidR="008C092B">
        <w:t xml:space="preserve">large-value payment </w:t>
      </w:r>
      <w:r w:rsidR="009931E6" w:rsidRPr="00CE1B3D">
        <w:t xml:space="preserve">systems </w:t>
      </w:r>
      <w:r w:rsidR="00462707">
        <w:t xml:space="preserve">located in the euro area </w:t>
      </w:r>
      <w:r w:rsidR="009931E6" w:rsidRPr="00CE1B3D">
        <w:t xml:space="preserve">settled </w:t>
      </w:r>
      <w:r w:rsidR="00046730">
        <w:t>7</w:t>
      </w:r>
      <w:r w:rsidR="003162D3">
        <w:t>4</w:t>
      </w:r>
      <w:r w:rsidR="00046730">
        <w:t>.</w:t>
      </w:r>
      <w:r w:rsidR="002B61AD">
        <w:t>7</w:t>
      </w:r>
      <w:r w:rsidR="005073AC" w:rsidRPr="0094325C">
        <w:t xml:space="preserve"> million</w:t>
      </w:r>
      <w:r w:rsidR="005073AC" w:rsidRPr="00CE1B3D">
        <w:t xml:space="preserve"> </w:t>
      </w:r>
      <w:r w:rsidR="009931E6" w:rsidRPr="00CE1B3D">
        <w:t xml:space="preserve">payments with a total value of </w:t>
      </w:r>
      <w:r w:rsidR="00CA4211" w:rsidRPr="00CE1B3D">
        <w:t>€</w:t>
      </w:r>
      <w:r w:rsidR="00046730">
        <w:t>22</w:t>
      </w:r>
      <w:r w:rsidR="001F35A9">
        <w:t>3</w:t>
      </w:r>
      <w:r w:rsidR="00046730">
        <w:t>.</w:t>
      </w:r>
      <w:r w:rsidR="001F35A9">
        <w:t>7</w:t>
      </w:r>
      <w:r w:rsidR="00CA4211" w:rsidRPr="00CE1B3D">
        <w:t xml:space="preserve"> trillion </w:t>
      </w:r>
      <w:r w:rsidR="009931E6" w:rsidRPr="00CE1B3D">
        <w:t xml:space="preserve">in euro payments, </w:t>
      </w:r>
      <w:r w:rsidR="009931E6" w:rsidRPr="00DD1DE0">
        <w:t xml:space="preserve">with </w:t>
      </w:r>
      <w:r w:rsidR="005801D6">
        <w:t>T2</w:t>
      </w:r>
      <w:r w:rsidR="000867F9" w:rsidRPr="00DD1DE0">
        <w:t xml:space="preserve"> </w:t>
      </w:r>
      <w:r w:rsidR="009931E6" w:rsidRPr="00DD1DE0">
        <w:t xml:space="preserve">and </w:t>
      </w:r>
      <w:r w:rsidR="000867F9" w:rsidRPr="00DD1DE0">
        <w:t>EURO1</w:t>
      </w:r>
      <w:r w:rsidR="000867F9" w:rsidRPr="00CE1B3D">
        <w:t xml:space="preserve">/STEP1 </w:t>
      </w:r>
      <w:r w:rsidR="009931E6" w:rsidRPr="00CE1B3D">
        <w:t xml:space="preserve">being the two main </w:t>
      </w:r>
      <w:r w:rsidR="008C092B">
        <w:t>systems</w:t>
      </w:r>
      <w:r w:rsidR="00E95833">
        <w:t>.</w:t>
      </w:r>
      <w:r w:rsidR="00EE2649" w:rsidRPr="00CE1B3D" w:rsidDel="00F6482F">
        <w:rPr>
          <w:rStyle w:val="FootnoteReference"/>
        </w:rPr>
        <w:footnoteReference w:id="14"/>
      </w:r>
      <w:r w:rsidR="009931E6" w:rsidRPr="00CE1B3D">
        <w:t xml:space="preserve"> </w:t>
      </w:r>
    </w:p>
    <w:p w14:paraId="243F0840" w14:textId="5B773A19" w:rsidR="00FF74A6" w:rsidRPr="00CE1B3D" w:rsidRDefault="00FF74A6" w:rsidP="00FF74A6">
      <w:pPr>
        <w:pStyle w:val="Chartright-Heading"/>
      </w:pPr>
      <w:r w:rsidRPr="00CE1B3D">
        <w:rPr>
          <w:b/>
          <w:bCs/>
        </w:rPr>
        <w:lastRenderedPageBreak/>
        <w:t xml:space="preserve">Chart </w:t>
      </w:r>
      <w:r>
        <w:rPr>
          <w:b/>
          <w:bCs/>
        </w:rPr>
        <w:t>3</w:t>
      </w:r>
      <w:r w:rsidRPr="00CE1B3D">
        <w:rPr>
          <w:b/>
          <w:bCs/>
        </w:rPr>
        <w:br/>
      </w:r>
      <w:r>
        <w:t>Main l</w:t>
      </w:r>
      <w:r w:rsidRPr="00693249">
        <w:t>arge-value payment systems</w:t>
      </w:r>
      <w:r w:rsidR="00BF2F28">
        <w:t xml:space="preserve"> located</w:t>
      </w:r>
      <w:r w:rsidRPr="00693249">
        <w:t xml:space="preserve"> </w:t>
      </w:r>
      <w:r w:rsidRPr="00CE1B3D">
        <w:t>in the euro area</w:t>
      </w:r>
      <w:r w:rsidR="001F1948">
        <w:t xml:space="preserve">, values </w:t>
      </w:r>
      <w:r w:rsidR="002868EE">
        <w:t>and numbers of</w:t>
      </w:r>
      <w:r w:rsidR="001F1948">
        <w:t xml:space="preserve"> transactions processed</w:t>
      </w:r>
      <w:r w:rsidRPr="00CE1B3D">
        <w:t xml:space="preserve"> in </w:t>
      </w:r>
      <w:r>
        <w:t xml:space="preserve">the </w:t>
      </w:r>
      <w:r w:rsidR="00D8141E">
        <w:t>second half of 2024</w:t>
      </w:r>
    </w:p>
    <w:p w14:paraId="5979C4AC" w14:textId="2C80C35E" w:rsidR="00264AF7" w:rsidRPr="00C9362E" w:rsidRDefault="00FF74A6" w:rsidP="00C9362E">
      <w:pPr>
        <w:pStyle w:val="Chartright-Measure"/>
      </w:pPr>
      <w:r w:rsidRPr="00CE1B3D">
        <w:t xml:space="preserve">(value of transactions in EUR trillions and number of transactions in </w:t>
      </w:r>
      <w:r w:rsidR="00C55E22">
        <w:t>millions</w:t>
      </w:r>
      <w:r w:rsidRPr="00CE1B3D">
        <w:t>)</w:t>
      </w:r>
    </w:p>
    <w:p w14:paraId="2DB94FC4" w14:textId="43BBAF43" w:rsidR="005932D8" w:rsidRPr="00DF43FB" w:rsidRDefault="009D07CF" w:rsidP="00C9362E">
      <w:pPr>
        <w:pStyle w:val="Chartright-Picture"/>
      </w:pPr>
      <w:r w:rsidRPr="009D07CF">
        <w:t xml:space="preserve"> </w:t>
      </w:r>
      <w:r w:rsidR="00D60846" w:rsidRPr="00D60846">
        <w:rPr>
          <w:noProof/>
        </w:rPr>
        <w:drawing>
          <wp:inline distT="0" distB="0" distL="0" distR="0" wp14:anchorId="5D4D879E" wp14:editId="37DBB10C">
            <wp:extent cx="5022850" cy="4870450"/>
            <wp:effectExtent l="0" t="0" r="6350" b="6350"/>
            <wp:docPr id="148691513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487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5E90C" w14:textId="77777777" w:rsidR="005932D8" w:rsidRDefault="005932D8" w:rsidP="005932D8">
      <w:pPr>
        <w:pStyle w:val="Chartright-SourcesNotes"/>
      </w:pPr>
      <w:r>
        <w:t>Source: ECB.</w:t>
      </w:r>
    </w:p>
    <w:p w14:paraId="29DCCFBA" w14:textId="3E015A48" w:rsidR="00FF74A6" w:rsidRPr="00FF74A6" w:rsidRDefault="00FF74A6" w:rsidP="00083B31">
      <w:pPr>
        <w:spacing w:line="240" w:lineRule="auto"/>
        <w:rPr>
          <w:color w:val="394AC7"/>
          <w:u w:val="single"/>
        </w:rPr>
      </w:pPr>
      <w:hyperlink r:id="rId22" w:history="1">
        <w:r w:rsidRPr="00083B31">
          <w:rPr>
            <w:rStyle w:val="Hyperlink"/>
            <w:color w:val="328DD2"/>
            <w:szCs w:val="22"/>
            <w:lang w:val="en"/>
          </w:rPr>
          <w:t>Data on large-value payment systems</w:t>
        </w:r>
      </w:hyperlink>
    </w:p>
    <w:p w14:paraId="581E91F0" w14:textId="00420503" w:rsidR="00FF74A6" w:rsidRPr="00C9362E" w:rsidRDefault="00B92AA0" w:rsidP="00C9362E">
      <w:pPr>
        <w:pStyle w:val="Heading2"/>
        <w:rPr>
          <w:sz w:val="24"/>
        </w:rPr>
      </w:pPr>
      <w:r w:rsidRPr="00CE1B3D">
        <w:rPr>
          <w:sz w:val="24"/>
        </w:rPr>
        <w:t>Notes:</w:t>
      </w:r>
    </w:p>
    <w:p w14:paraId="3294ADC6" w14:textId="57104CB7" w:rsidR="002F15FF" w:rsidRDefault="00187557" w:rsidP="002F15FF">
      <w:pPr>
        <w:numPr>
          <w:ilvl w:val="0"/>
          <w:numId w:val="5"/>
        </w:numPr>
        <w:autoSpaceDE/>
        <w:autoSpaceDN/>
        <w:adjustRightInd/>
        <w:spacing w:before="0" w:line="276" w:lineRule="auto"/>
        <w:rPr>
          <w:bCs/>
        </w:rPr>
      </w:pPr>
      <w:r w:rsidRPr="00BF242C">
        <w:rPr>
          <w:bCs/>
        </w:rPr>
        <w:t xml:space="preserve">The full set of payment statistics can be downloaded </w:t>
      </w:r>
      <w:r w:rsidRPr="00104853">
        <w:rPr>
          <w:bCs/>
        </w:rPr>
        <w:t>from the</w:t>
      </w:r>
      <w:r w:rsidR="00C01A2A" w:rsidRPr="00104853">
        <w:rPr>
          <w:bCs/>
        </w:rPr>
        <w:t xml:space="preserve"> </w:t>
      </w:r>
      <w:hyperlink r:id="rId23" w:anchor="payment-services-large-value-payment-systems-and-retail-payment-systems" w:history="1">
        <w:r w:rsidR="00C01A2A" w:rsidRPr="00A77CD6">
          <w:rPr>
            <w:rStyle w:val="Hyperlink"/>
            <w:color w:val="328DD2"/>
            <w:szCs w:val="22"/>
            <w:lang w:val="en"/>
          </w:rPr>
          <w:t>ECB Data Portal</w:t>
        </w:r>
      </w:hyperlink>
      <w:r w:rsidR="003F183E" w:rsidRPr="00BF242C">
        <w:rPr>
          <w:bCs/>
        </w:rPr>
        <w:t xml:space="preserve"> </w:t>
      </w:r>
      <w:r w:rsidR="00E267F9" w:rsidRPr="00BF242C">
        <w:rPr>
          <w:bCs/>
        </w:rPr>
        <w:t>(</w:t>
      </w:r>
      <w:r w:rsidR="003F183E" w:rsidRPr="00BF242C">
        <w:rPr>
          <w:bCs/>
        </w:rPr>
        <w:t>EDP</w:t>
      </w:r>
      <w:r w:rsidR="00E267F9" w:rsidRPr="00BF242C">
        <w:rPr>
          <w:bCs/>
        </w:rPr>
        <w:t>)</w:t>
      </w:r>
      <w:r w:rsidR="00766C80">
        <w:rPr>
          <w:bCs/>
        </w:rPr>
        <w:t xml:space="preserve">. The </w:t>
      </w:r>
      <w:r w:rsidR="00766C80" w:rsidRPr="00766C80">
        <w:rPr>
          <w:bCs/>
        </w:rPr>
        <w:t xml:space="preserve">EDP also includes </w:t>
      </w:r>
      <w:hyperlink r:id="rId24" w:history="1">
        <w:r w:rsidR="00766C80" w:rsidRPr="00A77CD6">
          <w:rPr>
            <w:rStyle w:val="Hyperlink"/>
            <w:color w:val="328DD2"/>
            <w:szCs w:val="22"/>
            <w:lang w:val="en"/>
          </w:rPr>
          <w:t>interactive dashboards</w:t>
        </w:r>
      </w:hyperlink>
      <w:r w:rsidR="00766C80" w:rsidRPr="00766C80">
        <w:rPr>
          <w:bCs/>
        </w:rPr>
        <w:t xml:space="preserve"> </w:t>
      </w:r>
      <w:r w:rsidR="00046730">
        <w:rPr>
          <w:bCs/>
        </w:rPr>
        <w:t xml:space="preserve">and </w:t>
      </w:r>
      <w:hyperlink r:id="rId25" w:history="1">
        <w:r w:rsidR="00046730" w:rsidRPr="00225709">
          <w:rPr>
            <w:rStyle w:val="Hyperlink"/>
            <w:color w:val="328DD2"/>
            <w:szCs w:val="22"/>
            <w:lang w:val="en"/>
          </w:rPr>
          <w:t>interactive reports</w:t>
        </w:r>
      </w:hyperlink>
      <w:r w:rsidR="00046730">
        <w:rPr>
          <w:bCs/>
        </w:rPr>
        <w:t xml:space="preserve"> </w:t>
      </w:r>
      <w:r w:rsidR="00766C80" w:rsidRPr="00766C80">
        <w:rPr>
          <w:bCs/>
        </w:rPr>
        <w:t>supporting data visualization</w:t>
      </w:r>
      <w:r w:rsidR="00556FCF" w:rsidRPr="00BF242C">
        <w:rPr>
          <w:bCs/>
        </w:rPr>
        <w:t>.</w:t>
      </w:r>
      <w:r w:rsidRPr="00BF242C">
        <w:rPr>
          <w:bCs/>
        </w:rPr>
        <w:t xml:space="preserve"> </w:t>
      </w:r>
      <w:r w:rsidR="00180EED">
        <w:rPr>
          <w:bCs/>
        </w:rPr>
        <w:t>D</w:t>
      </w:r>
      <w:r w:rsidRPr="00BF242C">
        <w:rPr>
          <w:bCs/>
        </w:rPr>
        <w:t xml:space="preserve">etailed methodological information, including a list of all data definitions, </w:t>
      </w:r>
      <w:r w:rsidR="00180EED">
        <w:rPr>
          <w:bCs/>
        </w:rPr>
        <w:t>is available under</w:t>
      </w:r>
      <w:r w:rsidRPr="00BF242C">
        <w:rPr>
          <w:bCs/>
        </w:rPr>
        <w:t xml:space="preserve"> </w:t>
      </w:r>
      <w:r w:rsidR="00180EED">
        <w:rPr>
          <w:bCs/>
        </w:rPr>
        <w:t>“</w:t>
      </w:r>
      <w:r w:rsidR="00BF242C" w:rsidRPr="006E384C">
        <w:t>Payment services and large-value and retail payment systems</w:t>
      </w:r>
      <w:r w:rsidR="00180EED">
        <w:t>” in the</w:t>
      </w:r>
      <w:r w:rsidR="00BF242C" w:rsidRPr="006E384C">
        <w:t xml:space="preserve"> </w:t>
      </w:r>
      <w:r w:rsidRPr="00BF242C">
        <w:rPr>
          <w:bCs/>
        </w:rPr>
        <w:t>"</w:t>
      </w:r>
      <w:hyperlink r:id="rId26" w:history="1">
        <w:r w:rsidRPr="00A77CD6">
          <w:rPr>
            <w:rStyle w:val="Hyperlink"/>
            <w:color w:val="328DD2"/>
            <w:szCs w:val="22"/>
            <w:lang w:val="en"/>
          </w:rPr>
          <w:t>Statistics</w:t>
        </w:r>
      </w:hyperlink>
      <w:r w:rsidRPr="00BF242C">
        <w:rPr>
          <w:bCs/>
        </w:rPr>
        <w:t>" section of the ECB's website.</w:t>
      </w:r>
      <w:r w:rsidR="003F183E" w:rsidRPr="00BF242C">
        <w:rPr>
          <w:bCs/>
        </w:rPr>
        <w:t xml:space="preserve"> </w:t>
      </w:r>
    </w:p>
    <w:p w14:paraId="0D537AF4" w14:textId="6BA73F5A" w:rsidR="002F15FF" w:rsidRPr="00D7271D" w:rsidRDefault="002F15FF" w:rsidP="002F15FF">
      <w:pPr>
        <w:numPr>
          <w:ilvl w:val="0"/>
          <w:numId w:val="5"/>
        </w:numPr>
        <w:autoSpaceDE/>
        <w:autoSpaceDN/>
        <w:adjustRightInd/>
        <w:spacing w:before="0" w:line="276" w:lineRule="auto"/>
        <w:rPr>
          <w:bCs/>
        </w:rPr>
      </w:pPr>
      <w:r w:rsidRPr="00D7271D">
        <w:rPr>
          <w:bCs/>
        </w:rPr>
        <w:lastRenderedPageBreak/>
        <w:t>As of 2025, the dissemination scope of payments statistics</w:t>
      </w:r>
      <w:r w:rsidR="00EE5F9B" w:rsidRPr="00D7271D">
        <w:rPr>
          <w:bCs/>
        </w:rPr>
        <w:t xml:space="preserve"> in the EDP</w:t>
      </w:r>
      <w:r w:rsidRPr="00D7271D">
        <w:rPr>
          <w:bCs/>
        </w:rPr>
        <w:t xml:space="preserve"> </w:t>
      </w:r>
      <w:r w:rsidR="00C87E2C" w:rsidRPr="00D7271D">
        <w:rPr>
          <w:bCs/>
        </w:rPr>
        <w:t xml:space="preserve">has been </w:t>
      </w:r>
      <w:r w:rsidRPr="00D7271D">
        <w:rPr>
          <w:bCs/>
        </w:rPr>
        <w:t>ex</w:t>
      </w:r>
      <w:r w:rsidR="00C87E2C" w:rsidRPr="00D7271D">
        <w:rPr>
          <w:bCs/>
        </w:rPr>
        <w:t>te</w:t>
      </w:r>
      <w:r w:rsidRPr="00D7271D">
        <w:rPr>
          <w:bCs/>
        </w:rPr>
        <w:t xml:space="preserve">nded </w:t>
      </w:r>
      <w:r w:rsidR="00C87E2C" w:rsidRPr="00D7271D">
        <w:rPr>
          <w:bCs/>
        </w:rPr>
        <w:t>in</w:t>
      </w:r>
      <w:r w:rsidRPr="00D7271D">
        <w:rPr>
          <w:bCs/>
        </w:rPr>
        <w:t xml:space="preserve"> two-wave</w:t>
      </w:r>
      <w:r w:rsidR="00C87E2C" w:rsidRPr="00D7271D">
        <w:rPr>
          <w:bCs/>
        </w:rPr>
        <w:t>s</w:t>
      </w:r>
      <w:r w:rsidRPr="00D7271D">
        <w:rPr>
          <w:bCs/>
        </w:rPr>
        <w:t xml:space="preserve">. </w:t>
      </w:r>
      <w:r w:rsidR="00452F9C" w:rsidRPr="00D7271D">
        <w:rPr>
          <w:bCs/>
        </w:rPr>
        <w:t>Since</w:t>
      </w:r>
      <w:r w:rsidR="00FE242D">
        <w:rPr>
          <w:bCs/>
        </w:rPr>
        <w:t xml:space="preserve"> </w:t>
      </w:r>
      <w:r w:rsidR="009A716F" w:rsidRPr="00D7271D">
        <w:rPr>
          <w:bCs/>
        </w:rPr>
        <w:t>March 2025</w:t>
      </w:r>
      <w:r w:rsidR="00FE242D">
        <w:rPr>
          <w:bCs/>
        </w:rPr>
        <w:t>,</w:t>
      </w:r>
      <w:r w:rsidRPr="00D7271D">
        <w:rPr>
          <w:bCs/>
        </w:rPr>
        <w:t xml:space="preserve"> the quarterly </w:t>
      </w:r>
      <w:r w:rsidR="009A716F" w:rsidRPr="00D7271D">
        <w:rPr>
          <w:bCs/>
        </w:rPr>
        <w:t>publication of payments statistics</w:t>
      </w:r>
      <w:r w:rsidR="00EE5F9B" w:rsidRPr="00D7271D">
        <w:rPr>
          <w:bCs/>
        </w:rPr>
        <w:t xml:space="preserve"> </w:t>
      </w:r>
      <w:r w:rsidR="00452F9C" w:rsidRPr="00D7271D">
        <w:rPr>
          <w:bCs/>
        </w:rPr>
        <w:t>h</w:t>
      </w:r>
      <w:r w:rsidR="009A716F" w:rsidRPr="00D7271D">
        <w:rPr>
          <w:bCs/>
        </w:rPr>
        <w:t xml:space="preserve">as </w:t>
      </w:r>
      <w:r w:rsidR="00452F9C" w:rsidRPr="00D7271D">
        <w:rPr>
          <w:bCs/>
        </w:rPr>
        <w:t xml:space="preserve">been </w:t>
      </w:r>
      <w:r w:rsidR="009A716F" w:rsidRPr="00D7271D">
        <w:rPr>
          <w:bCs/>
        </w:rPr>
        <w:t>significantly widened</w:t>
      </w:r>
      <w:r w:rsidR="00452F9C" w:rsidRPr="00D7271D">
        <w:rPr>
          <w:bCs/>
        </w:rPr>
        <w:t>,</w:t>
      </w:r>
      <w:r w:rsidR="009A716F" w:rsidRPr="00D7271D">
        <w:rPr>
          <w:bCs/>
        </w:rPr>
        <w:t xml:space="preserve"> offering more detailed geographical breakdowns as well as additional details on card payments per type of merchant category codes (MCC). </w:t>
      </w:r>
      <w:r w:rsidR="00452F9C" w:rsidRPr="00D7271D">
        <w:rPr>
          <w:bCs/>
        </w:rPr>
        <w:t xml:space="preserve">As of </w:t>
      </w:r>
      <w:r w:rsidR="009A716F" w:rsidRPr="00D7271D">
        <w:rPr>
          <w:bCs/>
        </w:rPr>
        <w:t>July 2025</w:t>
      </w:r>
      <w:r w:rsidR="00452F9C" w:rsidRPr="00D7271D">
        <w:rPr>
          <w:bCs/>
        </w:rPr>
        <w:t>,</w:t>
      </w:r>
      <w:r w:rsidR="009E4237" w:rsidRPr="00D7271D">
        <w:rPr>
          <w:bCs/>
        </w:rPr>
        <w:t xml:space="preserve"> </w:t>
      </w:r>
      <w:r w:rsidR="009A716F" w:rsidRPr="00D7271D">
        <w:rPr>
          <w:bCs/>
        </w:rPr>
        <w:t xml:space="preserve">the semi-annual publication </w:t>
      </w:r>
      <w:r w:rsidR="00452F9C" w:rsidRPr="00D7271D">
        <w:rPr>
          <w:bCs/>
        </w:rPr>
        <w:t>includes</w:t>
      </w:r>
      <w:r w:rsidR="009A716F" w:rsidRPr="00D7271D">
        <w:rPr>
          <w:bCs/>
        </w:rPr>
        <w:t xml:space="preserve"> </w:t>
      </w:r>
      <w:r w:rsidR="00EE5F9B" w:rsidRPr="00D7271D">
        <w:rPr>
          <w:bCs/>
        </w:rPr>
        <w:t xml:space="preserve">details on the </w:t>
      </w:r>
      <w:r w:rsidR="009A716F" w:rsidRPr="00D7271D">
        <w:rPr>
          <w:bCs/>
        </w:rPr>
        <w:t>payment scheme</w:t>
      </w:r>
      <w:r w:rsidR="00EE5F9B" w:rsidRPr="00D7271D">
        <w:rPr>
          <w:bCs/>
        </w:rPr>
        <w:t>s</w:t>
      </w:r>
      <w:r w:rsidR="009A716F" w:rsidRPr="00D7271D">
        <w:rPr>
          <w:bCs/>
        </w:rPr>
        <w:t xml:space="preserve"> for credit transfers and direct debits</w:t>
      </w:r>
      <w:r w:rsidR="00EE5F9B" w:rsidRPr="00D7271D">
        <w:rPr>
          <w:bCs/>
        </w:rPr>
        <w:t xml:space="preserve"> as well as</w:t>
      </w:r>
      <w:r w:rsidR="009A716F" w:rsidRPr="00D7271D">
        <w:rPr>
          <w:bCs/>
        </w:rPr>
        <w:t xml:space="preserve"> </w:t>
      </w:r>
      <w:r w:rsidR="00EE5F9B" w:rsidRPr="00D7271D">
        <w:rPr>
          <w:bCs/>
        </w:rPr>
        <w:t>more granular geographical breakdowns</w:t>
      </w:r>
      <w:r w:rsidR="00452F9C" w:rsidRPr="00D7271D">
        <w:rPr>
          <w:bCs/>
        </w:rPr>
        <w:t>, among others</w:t>
      </w:r>
      <w:r w:rsidR="009E4237" w:rsidRPr="00D7271D">
        <w:rPr>
          <w:bCs/>
        </w:rPr>
        <w:t xml:space="preserve">. In </w:t>
      </w:r>
      <w:r w:rsidR="00452F9C" w:rsidRPr="00D7271D">
        <w:rPr>
          <w:bCs/>
        </w:rPr>
        <w:t>addition</w:t>
      </w:r>
      <w:r w:rsidR="009E4237" w:rsidRPr="00D7271D">
        <w:rPr>
          <w:bCs/>
        </w:rPr>
        <w:t xml:space="preserve">, some </w:t>
      </w:r>
      <w:r w:rsidR="00EE5F9B" w:rsidRPr="00D7271D">
        <w:rPr>
          <w:bCs/>
        </w:rPr>
        <w:t>indicators</w:t>
      </w:r>
      <w:r w:rsidR="009E4237" w:rsidRPr="00D7271D">
        <w:rPr>
          <w:bCs/>
        </w:rPr>
        <w:t xml:space="preserve"> related to fraudulent payment transactions are now publicly available in the EDP. </w:t>
      </w:r>
      <w:r w:rsidR="00452F9C" w:rsidRPr="00D7271D">
        <w:rPr>
          <w:bCs/>
        </w:rPr>
        <w:t>For t</w:t>
      </w:r>
      <w:r w:rsidR="009E4237" w:rsidRPr="00D7271D">
        <w:rPr>
          <w:bCs/>
        </w:rPr>
        <w:t>he latter</w:t>
      </w:r>
      <w:r w:rsidR="00771C12">
        <w:rPr>
          <w:bCs/>
        </w:rPr>
        <w:t>,</w:t>
      </w:r>
      <w:r w:rsidR="009E4237" w:rsidRPr="00D7271D">
        <w:rPr>
          <w:bCs/>
        </w:rPr>
        <w:t xml:space="preserve"> </w:t>
      </w:r>
      <w:r w:rsidR="00452F9C" w:rsidRPr="00D7271D">
        <w:rPr>
          <w:bCs/>
        </w:rPr>
        <w:t>please also refer to</w:t>
      </w:r>
      <w:r w:rsidR="00EE5F9B" w:rsidRPr="00D7271D">
        <w:rPr>
          <w:bCs/>
        </w:rPr>
        <w:t xml:space="preserve"> the relevant</w:t>
      </w:r>
      <w:r w:rsidR="009E4237" w:rsidRPr="00D7271D">
        <w:rPr>
          <w:bCs/>
        </w:rPr>
        <w:t xml:space="preserve"> disclaimer</w:t>
      </w:r>
      <w:r w:rsidR="00EE5F9B" w:rsidRPr="00D7271D">
        <w:rPr>
          <w:bCs/>
        </w:rPr>
        <w:t xml:space="preserve"> available </w:t>
      </w:r>
      <w:r w:rsidR="003852AF">
        <w:rPr>
          <w:bCs/>
        </w:rPr>
        <w:t xml:space="preserve">towards </w:t>
      </w:r>
      <w:r w:rsidR="00EE5F9B" w:rsidRPr="00D7271D">
        <w:rPr>
          <w:bCs/>
        </w:rPr>
        <w:t>the</w:t>
      </w:r>
      <w:r w:rsidR="003852AF">
        <w:rPr>
          <w:bCs/>
        </w:rPr>
        <w:t xml:space="preserve"> bottom of the</w:t>
      </w:r>
      <w:r w:rsidR="00D60846" w:rsidRPr="00D7271D">
        <w:rPr>
          <w:bCs/>
        </w:rPr>
        <w:t xml:space="preserve"> </w:t>
      </w:r>
      <w:hyperlink r:id="rId27" w:history="1">
        <w:r w:rsidR="00D60846" w:rsidRPr="00771C12">
          <w:rPr>
            <w:rStyle w:val="Hyperlink"/>
            <w:color w:val="328DD2"/>
            <w:szCs w:val="22"/>
            <w:lang w:val="en"/>
          </w:rPr>
          <w:t>EDP</w:t>
        </w:r>
        <w:r w:rsidR="003852AF" w:rsidRPr="00771C12">
          <w:rPr>
            <w:rStyle w:val="Hyperlink"/>
            <w:color w:val="328DD2"/>
            <w:szCs w:val="22"/>
            <w:lang w:val="en"/>
          </w:rPr>
          <w:t xml:space="preserve"> page</w:t>
        </w:r>
      </w:hyperlink>
      <w:r w:rsidR="00D60846" w:rsidRPr="00D7271D">
        <w:rPr>
          <w:bCs/>
        </w:rPr>
        <w:t xml:space="preserve">. </w:t>
      </w:r>
    </w:p>
    <w:p w14:paraId="6F2F3152" w14:textId="26934709" w:rsidR="002574EF" w:rsidRPr="00B11290" w:rsidRDefault="00452F9C" w:rsidP="00187557">
      <w:pPr>
        <w:numPr>
          <w:ilvl w:val="0"/>
          <w:numId w:val="5"/>
        </w:numPr>
        <w:autoSpaceDE/>
        <w:autoSpaceDN/>
        <w:adjustRightInd/>
        <w:spacing w:before="0" w:line="276" w:lineRule="auto"/>
        <w:rPr>
          <w:bCs/>
        </w:rPr>
      </w:pPr>
      <w:r>
        <w:rPr>
          <w:bCs/>
        </w:rPr>
        <w:t>Taking effect on 1 January 2022, t</w:t>
      </w:r>
      <w:r w:rsidR="00180EED" w:rsidRPr="00B11290">
        <w:rPr>
          <w:bCs/>
        </w:rPr>
        <w:t xml:space="preserve">he methodological and reporting framework for payments statistics </w:t>
      </w:r>
      <w:r w:rsidR="002868EE">
        <w:rPr>
          <w:bCs/>
        </w:rPr>
        <w:t>was</w:t>
      </w:r>
      <w:r w:rsidR="00180EED" w:rsidRPr="00B11290">
        <w:rPr>
          <w:bCs/>
        </w:rPr>
        <w:t xml:space="preserve"> enhanced </w:t>
      </w:r>
      <w:r w:rsidR="00180EED">
        <w:rPr>
          <w:bCs/>
        </w:rPr>
        <w:t>to take</w:t>
      </w:r>
      <w:r w:rsidR="00DB13FD">
        <w:rPr>
          <w:bCs/>
        </w:rPr>
        <w:t xml:space="preserve"> </w:t>
      </w:r>
      <w:r w:rsidR="002574EF" w:rsidRPr="00B11290">
        <w:rPr>
          <w:bCs/>
        </w:rPr>
        <w:t>progressive developments in the payments market</w:t>
      </w:r>
      <w:r w:rsidR="00F8629A" w:rsidRPr="00B11290">
        <w:rPr>
          <w:bCs/>
        </w:rPr>
        <w:t xml:space="preserve"> </w:t>
      </w:r>
      <w:r w:rsidR="00202A02">
        <w:rPr>
          <w:bCs/>
        </w:rPr>
        <w:t>and related changes in the</w:t>
      </w:r>
      <w:r w:rsidR="00F8629A" w:rsidRPr="00B11290">
        <w:rPr>
          <w:bCs/>
        </w:rPr>
        <w:t xml:space="preserve"> legal framework in Europe</w:t>
      </w:r>
      <w:r w:rsidR="00180EED">
        <w:rPr>
          <w:bCs/>
        </w:rPr>
        <w:t xml:space="preserve"> into account. The </w:t>
      </w:r>
      <w:r w:rsidR="0018575E">
        <w:rPr>
          <w:bCs/>
        </w:rPr>
        <w:t xml:space="preserve">enhanced </w:t>
      </w:r>
      <w:r w:rsidR="00180EED">
        <w:rPr>
          <w:bCs/>
        </w:rPr>
        <w:t>reporting requirements</w:t>
      </w:r>
      <w:r w:rsidR="0018575E">
        <w:rPr>
          <w:bCs/>
        </w:rPr>
        <w:t xml:space="preserve"> </w:t>
      </w:r>
      <w:r w:rsidR="00180EED">
        <w:rPr>
          <w:bCs/>
        </w:rPr>
        <w:t>are</w:t>
      </w:r>
      <w:r w:rsidR="002574EF" w:rsidRPr="00B11290">
        <w:rPr>
          <w:bCs/>
        </w:rPr>
        <w:t xml:space="preserve"> </w:t>
      </w:r>
      <w:r w:rsidR="00180EED">
        <w:rPr>
          <w:bCs/>
        </w:rPr>
        <w:t>set out</w:t>
      </w:r>
      <w:r w:rsidR="00F8629A" w:rsidRPr="00B11290">
        <w:rPr>
          <w:bCs/>
        </w:rPr>
        <w:t xml:space="preserve"> in Regulation ECB/2020/59 amending Regulation ECB/2013/43</w:t>
      </w:r>
      <w:r w:rsidR="00180EED">
        <w:rPr>
          <w:bCs/>
        </w:rPr>
        <w:t xml:space="preserve"> on payments statistics</w:t>
      </w:r>
      <w:r w:rsidR="00F8629A" w:rsidRPr="00B11290">
        <w:rPr>
          <w:bCs/>
        </w:rPr>
        <w:t xml:space="preserve"> and in Guideline </w:t>
      </w:r>
      <w:r w:rsidR="00180EED" w:rsidRPr="00B11290">
        <w:rPr>
          <w:bCs/>
        </w:rPr>
        <w:t>ECB/2021/13</w:t>
      </w:r>
      <w:r w:rsidR="00180EED">
        <w:rPr>
          <w:bCs/>
        </w:rPr>
        <w:t xml:space="preserve"> </w:t>
      </w:r>
      <w:r w:rsidR="00F8629A" w:rsidRPr="00B11290">
        <w:rPr>
          <w:bCs/>
        </w:rPr>
        <w:t xml:space="preserve">on reporting requirements on payments statistics. In addition, the Manual on payments statistics reporting is available on the </w:t>
      </w:r>
      <w:hyperlink r:id="rId28" w:history="1">
        <w:r w:rsidR="00F8629A" w:rsidRPr="00A77CD6">
          <w:rPr>
            <w:rStyle w:val="Hyperlink"/>
            <w:color w:val="328DD2"/>
            <w:szCs w:val="22"/>
            <w:lang w:val="en"/>
          </w:rPr>
          <w:t>ECB’s website</w:t>
        </w:r>
      </w:hyperlink>
      <w:r w:rsidR="00180EED" w:rsidRPr="00BF242C">
        <w:rPr>
          <w:bCs/>
        </w:rPr>
        <w:t>.</w:t>
      </w:r>
    </w:p>
    <w:p w14:paraId="18928B2F" w14:textId="67538883" w:rsidR="004404D0" w:rsidRPr="00C9362E" w:rsidRDefault="005F558E" w:rsidP="00CF0C0A">
      <w:pPr>
        <w:numPr>
          <w:ilvl w:val="0"/>
          <w:numId w:val="5"/>
        </w:numPr>
        <w:autoSpaceDE/>
        <w:autoSpaceDN/>
        <w:adjustRightInd/>
        <w:spacing w:before="0" w:line="276" w:lineRule="auto"/>
        <w:rPr>
          <w:bCs/>
        </w:rPr>
      </w:pPr>
      <w:r w:rsidRPr="00CE1B3D">
        <w:rPr>
          <w:color w:val="000000" w:themeColor="text1"/>
          <w:lang w:val="en-US"/>
        </w:rPr>
        <w:t xml:space="preserve">Hyperlinks in the main body of the press release and in annex tables lead to data that may change with subsequent releases </w:t>
      </w:r>
      <w:proofErr w:type="gramStart"/>
      <w:r w:rsidRPr="00CE1B3D">
        <w:rPr>
          <w:color w:val="000000" w:themeColor="text1"/>
          <w:lang w:val="en-US"/>
        </w:rPr>
        <w:t>as a result of</w:t>
      </w:r>
      <w:proofErr w:type="gramEnd"/>
      <w:r w:rsidRPr="00CE1B3D">
        <w:rPr>
          <w:color w:val="000000" w:themeColor="text1"/>
          <w:lang w:val="en-US"/>
        </w:rPr>
        <w:t xml:space="preserve"> revisions. Figures shown in annex tables are a snapshot of the data at the time of the current release.</w:t>
      </w:r>
      <w:r w:rsidR="00154380" w:rsidRPr="00154380">
        <w:rPr>
          <w:bCs/>
        </w:rPr>
        <w:t xml:space="preserve"> </w:t>
      </w:r>
      <w:r w:rsidR="00154380" w:rsidRPr="00CE1B3D">
        <w:rPr>
          <w:bCs/>
        </w:rPr>
        <w:t xml:space="preserve">Unless otherwise indicated, statistics referring to </w:t>
      </w:r>
      <w:r w:rsidR="00154380">
        <w:rPr>
          <w:bCs/>
        </w:rPr>
        <w:t xml:space="preserve">the </w:t>
      </w:r>
      <w:r w:rsidR="00154380" w:rsidRPr="00CE1B3D">
        <w:rPr>
          <w:bCs/>
        </w:rPr>
        <w:t>euro area cover the EU Member States that had adopted the euro at the time to which the data relate.</w:t>
      </w:r>
    </w:p>
    <w:sectPr w:rsidR="004404D0" w:rsidRPr="00C9362E" w:rsidSect="002A105F">
      <w:headerReference w:type="even" r:id="rId29"/>
      <w:headerReference w:type="default" r:id="rId30"/>
      <w:footerReference w:type="default" r:id="rId31"/>
      <w:headerReference w:type="first" r:id="rId32"/>
      <w:endnotePr>
        <w:numFmt w:val="decimal"/>
      </w:endnotePr>
      <w:pgSz w:w="11906" w:h="16498"/>
      <w:pgMar w:top="2381" w:right="1417" w:bottom="1701" w:left="1417" w:header="567" w:footer="42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468DC" w14:textId="77777777" w:rsidR="006911DD" w:rsidRDefault="006911DD">
      <w:pPr>
        <w:spacing w:before="0" w:after="0" w:line="240" w:lineRule="auto"/>
      </w:pPr>
      <w:r>
        <w:separator/>
      </w:r>
    </w:p>
  </w:endnote>
  <w:endnote w:type="continuationSeparator" w:id="0">
    <w:p w14:paraId="10412EA1" w14:textId="77777777" w:rsidR="006911DD" w:rsidRDefault="006911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ndnya">
    <w:panose1 w:val="00000400000000000000"/>
    <w:charset w:val="01"/>
    <w:family w:val="roman"/>
    <w:notTrueType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5AA7" w14:textId="77777777" w:rsidR="00994BA8" w:rsidRDefault="00785F76">
    <w:pPr>
      <w:pStyle w:val="Footer"/>
    </w:pPr>
    <w:r>
      <w:rPr>
        <w:b/>
        <w:bCs/>
      </w:rPr>
      <w:t>European Central Bank</w:t>
    </w:r>
    <w:r>
      <w:br/>
      <w:t>Directorate General Communications, Global Media Relations Division</w:t>
    </w:r>
    <w:r>
      <w:br/>
    </w:r>
    <w:proofErr w:type="spellStart"/>
    <w:r>
      <w:t>Sonnemannstrasse</w:t>
    </w:r>
    <w:proofErr w:type="spellEnd"/>
    <w:r>
      <w:t xml:space="preserve"> 20, 60314 Frankfurt am Main, Germany</w:t>
    </w:r>
    <w:r>
      <w:br/>
      <w:t xml:space="preserve">Tel.: +49 69 1344 7455, e-mail: </w:t>
    </w:r>
    <w:hyperlink r:id="rId1" w:history="1">
      <w:r>
        <w:rPr>
          <w:color w:val="394AC7"/>
          <w:u w:val="single"/>
        </w:rPr>
        <w:t>media@ecb.europa.eu</w:t>
      </w:r>
    </w:hyperlink>
    <w:r>
      <w:t xml:space="preserve">, website: </w:t>
    </w:r>
    <w:hyperlink r:id="rId2" w:history="1">
      <w:r>
        <w:rPr>
          <w:color w:val="394AC7"/>
          <w:u w:val="single"/>
        </w:rPr>
        <w:t>www.ecb.europa.eu</w:t>
      </w:r>
    </w:hyperlink>
    <w:r>
      <w:br/>
    </w:r>
    <w:r>
      <w:br/>
      <w:t>Reproduction is permitted provided that the source is acknowledged.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420A1" w14:textId="77777777" w:rsidR="006911DD" w:rsidRDefault="006911DD">
      <w:pPr>
        <w:spacing w:before="0" w:after="0" w:line="240" w:lineRule="auto"/>
      </w:pPr>
      <w:r>
        <w:separator/>
      </w:r>
    </w:p>
  </w:footnote>
  <w:footnote w:type="continuationSeparator" w:id="0">
    <w:p w14:paraId="6738D147" w14:textId="77777777" w:rsidR="006911DD" w:rsidRDefault="006911DD">
      <w:pPr>
        <w:spacing w:before="0" w:after="0" w:line="240" w:lineRule="auto"/>
      </w:pPr>
      <w:r>
        <w:continuationSeparator/>
      </w:r>
    </w:p>
  </w:footnote>
  <w:footnote w:id="1">
    <w:p w14:paraId="56B65794" w14:textId="5ACABBE5" w:rsidR="00523CC7" w:rsidRPr="00523CC7" w:rsidRDefault="00523CC7" w:rsidP="00662DC0">
      <w:pPr>
        <w:pStyle w:val="Chartright-SourcesNotes"/>
        <w:spacing w:line="240" w:lineRule="auto"/>
        <w:ind w:left="142" w:right="0" w:hanging="142"/>
        <w:jc w:val="both"/>
        <w:rPr>
          <w:sz w:val="12"/>
          <w:szCs w:val="12"/>
        </w:rPr>
      </w:pPr>
      <w:r w:rsidRPr="00977572">
        <w:rPr>
          <w:rStyle w:val="FootnoteReference"/>
          <w:rFonts w:eastAsia="Times New Roman" w:cs="Sendnya"/>
          <w:color w:val="000000"/>
          <w:kern w:val="15"/>
          <w:sz w:val="15"/>
          <w:szCs w:val="18"/>
        </w:rPr>
        <w:footnoteRef/>
      </w:r>
      <w:r w:rsidRPr="00977572">
        <w:rPr>
          <w:rStyle w:val="FootnoteReference"/>
        </w:rPr>
        <w:t xml:space="preserve"> </w:t>
      </w:r>
      <w:bookmarkStart w:id="4" w:name="_Hlk157433806"/>
      <w:r w:rsidRPr="00523CC7">
        <w:rPr>
          <w:rFonts w:eastAsia="Times New Roman" w:cs="Sendnya"/>
          <w:color w:val="000000"/>
          <w:kern w:val="15"/>
          <w:sz w:val="15"/>
          <w:szCs w:val="18"/>
        </w:rPr>
        <w:t>Statistics are also collected for cheques, money remittances and other payment services</w:t>
      </w:r>
      <w:r w:rsidR="00D35856">
        <w:rPr>
          <w:rFonts w:eastAsia="Times New Roman" w:cs="Sendnya"/>
          <w:color w:val="000000"/>
          <w:kern w:val="15"/>
          <w:sz w:val="15"/>
          <w:szCs w:val="18"/>
        </w:rPr>
        <w:t>,</w:t>
      </w:r>
      <w:r w:rsidRPr="00523CC7">
        <w:rPr>
          <w:rFonts w:eastAsia="Times New Roman" w:cs="Sendnya"/>
          <w:color w:val="000000"/>
          <w:kern w:val="15"/>
          <w:sz w:val="15"/>
          <w:szCs w:val="18"/>
        </w:rPr>
        <w:t xml:space="preserve"> which together accounted for </w:t>
      </w:r>
      <w:r w:rsidR="00DB658C">
        <w:rPr>
          <w:rFonts w:eastAsia="Times New Roman" w:cs="Sendnya"/>
          <w:color w:val="000000"/>
          <w:kern w:val="15"/>
          <w:sz w:val="15"/>
          <w:szCs w:val="18"/>
        </w:rPr>
        <w:t>around 1</w:t>
      </w:r>
      <w:r w:rsidRPr="00523CC7">
        <w:rPr>
          <w:rFonts w:eastAsia="Times New Roman" w:cs="Sendnya"/>
          <w:color w:val="000000"/>
          <w:kern w:val="15"/>
          <w:sz w:val="15"/>
          <w:szCs w:val="18"/>
        </w:rPr>
        <w:t>% of the total number</w:t>
      </w:r>
      <w:r w:rsidR="00AA2607">
        <w:rPr>
          <w:rFonts w:eastAsia="Times New Roman" w:cs="Sendnya"/>
          <w:color w:val="000000"/>
          <w:kern w:val="15"/>
          <w:sz w:val="15"/>
          <w:szCs w:val="18"/>
        </w:rPr>
        <w:t xml:space="preserve"> and for 1% of the total value</w:t>
      </w:r>
      <w:r w:rsidRPr="00523CC7">
        <w:rPr>
          <w:rFonts w:eastAsia="Times New Roman" w:cs="Sendnya"/>
          <w:color w:val="000000"/>
          <w:kern w:val="15"/>
          <w:sz w:val="15"/>
          <w:szCs w:val="18"/>
        </w:rPr>
        <w:t xml:space="preserve"> of non-cash euro area payment transactions in </w:t>
      </w:r>
      <w:r w:rsidR="00D35856">
        <w:rPr>
          <w:rFonts w:eastAsia="Times New Roman" w:cs="Sendnya"/>
          <w:color w:val="000000"/>
          <w:kern w:val="15"/>
          <w:sz w:val="15"/>
          <w:szCs w:val="18"/>
        </w:rPr>
        <w:t xml:space="preserve">the </w:t>
      </w:r>
      <w:r w:rsidR="00D8141E">
        <w:rPr>
          <w:rFonts w:eastAsia="Times New Roman" w:cs="Sendnya"/>
          <w:color w:val="000000"/>
          <w:kern w:val="15"/>
          <w:sz w:val="15"/>
          <w:szCs w:val="18"/>
        </w:rPr>
        <w:t>second half of 2024</w:t>
      </w:r>
      <w:r w:rsidRPr="00523CC7">
        <w:rPr>
          <w:rFonts w:eastAsia="Times New Roman" w:cs="Sendnya"/>
          <w:color w:val="000000"/>
          <w:kern w:val="15"/>
          <w:sz w:val="15"/>
          <w:szCs w:val="18"/>
        </w:rPr>
        <w:t>.</w:t>
      </w:r>
      <w:bookmarkEnd w:id="4"/>
    </w:p>
  </w:footnote>
  <w:footnote w:id="2">
    <w:p w14:paraId="06A7AAF5" w14:textId="06FDCA7E" w:rsidR="005D1A62" w:rsidRDefault="005D1A62" w:rsidP="005D1A62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The published data have been collected in accordance with Regulation ECB/2020/59 amending Regulation ECB/2013/43 on payments statistics, </w:t>
      </w:r>
      <w:bookmarkStart w:id="6" w:name="_Hlk157083128"/>
      <w:r>
        <w:t>which came into effect on 1 January 2022</w:t>
      </w:r>
      <w:bookmarkEnd w:id="6"/>
      <w:r>
        <w:t>. Regulation ECB/2020/59 increased the frequency of data collection from annual to semi-annual</w:t>
      </w:r>
      <w:r w:rsidR="003119A9">
        <w:t>. Data for some high-level indicators as well as additional details on card payments are collected with quarterly frequency</w:t>
      </w:r>
      <w:r>
        <w:t xml:space="preserve">. Data for the </w:t>
      </w:r>
      <w:r w:rsidR="00D8141E">
        <w:t>second half of 2024</w:t>
      </w:r>
      <w:r>
        <w:t xml:space="preserve"> </w:t>
      </w:r>
      <w:r w:rsidR="007D4669">
        <w:t>are flagged</w:t>
      </w:r>
      <w:r>
        <w:t xml:space="preserve"> as provisional and </w:t>
      </w:r>
      <w:r w:rsidR="007D4669">
        <w:t xml:space="preserve">may be </w:t>
      </w:r>
      <w:r>
        <w:t>subject to revisions.</w:t>
      </w:r>
    </w:p>
  </w:footnote>
  <w:footnote w:id="3">
    <w:p w14:paraId="507CA231" w14:textId="6E734E2C" w:rsidR="00140B91" w:rsidRDefault="00140B91" w:rsidP="00140B91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At the time of reporting the semi-annual data for </w:t>
      </w:r>
      <w:r w:rsidR="002146AC">
        <w:t xml:space="preserve">the </w:t>
      </w:r>
      <w:r w:rsidR="00D8141E">
        <w:t>second half of 2024</w:t>
      </w:r>
      <w:r>
        <w:t xml:space="preserve">, some </w:t>
      </w:r>
      <w:r w:rsidR="00A465E0">
        <w:t xml:space="preserve">non-euro area </w:t>
      </w:r>
      <w:r>
        <w:t xml:space="preserve">EU countries were still in the process of implementing the requirements of Regulation ECB/2020/59. As such, EU aggregates do not cover all EU </w:t>
      </w:r>
      <w:r w:rsidRPr="00812A11">
        <w:t xml:space="preserve">countries. Further information on which EU countries </w:t>
      </w:r>
      <w:r w:rsidR="007D7BB9" w:rsidRPr="00812A11">
        <w:t xml:space="preserve">are reporting partial scope </w:t>
      </w:r>
      <w:r w:rsidRPr="00812A11">
        <w:t xml:space="preserve">can be found in the </w:t>
      </w:r>
      <w:r w:rsidR="007D7BB9" w:rsidRPr="00C86006">
        <w:t>country-specific methodological notes</w:t>
      </w:r>
      <w:r w:rsidR="007D7BB9" w:rsidRPr="00812A11">
        <w:t xml:space="preserve"> on</w:t>
      </w:r>
      <w:r w:rsidR="003C2B2F">
        <w:t xml:space="preserve"> the</w:t>
      </w:r>
      <w:r w:rsidR="007D7BB9" w:rsidRPr="00812A11">
        <w:t xml:space="preserve"> </w:t>
      </w:r>
      <w:hyperlink r:id="rId1" w:history="1">
        <w:r w:rsidR="003C2B2F">
          <w:rPr>
            <w:rStyle w:val="Hyperlink"/>
          </w:rPr>
          <w:t>ECB Data Portal</w:t>
        </w:r>
      </w:hyperlink>
      <w:r w:rsidRPr="00812A11">
        <w:t>.</w:t>
      </w:r>
    </w:p>
  </w:footnote>
  <w:footnote w:id="4">
    <w:p w14:paraId="2CB118D4" w14:textId="40BCF1E6" w:rsidR="00C96785" w:rsidRDefault="00C96785" w:rsidP="00981934">
      <w:pPr>
        <w:pStyle w:val="FootnoteText"/>
        <w:tabs>
          <w:tab w:val="left" w:pos="567"/>
        </w:tabs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C96785">
        <w:t xml:space="preserve">SEPA instruments are included in the respective categories. Information on these instruments can be found </w:t>
      </w:r>
      <w:hyperlink r:id="rId2" w:history="1">
        <w:r w:rsidRPr="00981934">
          <w:rPr>
            <w:rStyle w:val="Hyperlink"/>
            <w:rFonts w:eastAsiaTheme="minorEastAsia" w:cs="Arial"/>
            <w:color w:val="328DD2"/>
            <w:kern w:val="0"/>
            <w:szCs w:val="15"/>
            <w:lang w:val="en"/>
          </w:rPr>
          <w:t>on the ECB's website</w:t>
        </w:r>
      </w:hyperlink>
      <w:r w:rsidRPr="00C96785">
        <w:t>.</w:t>
      </w:r>
    </w:p>
  </w:footnote>
  <w:footnote w:id="5">
    <w:p w14:paraId="23EBCB1B" w14:textId="067339E8" w:rsidR="00C96785" w:rsidRDefault="00C96785" w:rsidP="00C96785">
      <w:pPr>
        <w:pStyle w:val="FootnoteText"/>
        <w:tabs>
          <w:tab w:val="left" w:pos="567"/>
        </w:tabs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C96785">
        <w:t xml:space="preserve">Total non-cash payment services exclude cash-withdrawals and include credit transfers, direct debits, card payments with cards issued by resident payment service providers, e-money payment transactions with e-money issued by resident payment service providers, cheques, money remittances and other payment services. A wider </w:t>
      </w:r>
      <w:hyperlink r:id="rId3" w:history="1">
        <w:r w:rsidRPr="00981934">
          <w:rPr>
            <w:rStyle w:val="Hyperlink"/>
            <w:rFonts w:eastAsiaTheme="minorEastAsia" w:cs="Arial"/>
            <w:color w:val="328DD2"/>
            <w:kern w:val="0"/>
            <w:szCs w:val="15"/>
            <w:lang w:val="en"/>
          </w:rPr>
          <w:t>total</w:t>
        </w:r>
      </w:hyperlink>
      <w:r w:rsidRPr="00C96785">
        <w:t xml:space="preserve"> that includes cash withdrawals is also available on the ECB Data Portal.</w:t>
      </w:r>
    </w:p>
  </w:footnote>
  <w:footnote w:id="6">
    <w:p w14:paraId="68B756A9" w14:textId="5AE3D010" w:rsidR="006F7120" w:rsidRDefault="006F7120" w:rsidP="00A54335">
      <w:pPr>
        <w:pStyle w:val="FootnoteText"/>
        <w:tabs>
          <w:tab w:val="left" w:pos="142"/>
          <w:tab w:val="left" w:pos="426"/>
        </w:tabs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="00B02B83">
        <w:t>R</w:t>
      </w:r>
      <w:r w:rsidR="00525B12">
        <w:t xml:space="preserve">emote card payments are </w:t>
      </w:r>
      <w:r w:rsidR="00876097">
        <w:t>payment transactions</w:t>
      </w:r>
      <w:r w:rsidR="00525B12">
        <w:t xml:space="preserve"> initiated </w:t>
      </w:r>
      <w:r w:rsidR="0079090F">
        <w:t>using</w:t>
      </w:r>
      <w:r w:rsidR="00525B12">
        <w:t xml:space="preserve"> </w:t>
      </w:r>
      <w:r w:rsidR="0079090F">
        <w:t>the i</w:t>
      </w:r>
      <w:r w:rsidR="00525B12">
        <w:t>nternet o</w:t>
      </w:r>
      <w:r w:rsidR="00525B12" w:rsidRPr="00525B12">
        <w:t>r a device that can be used for distance</w:t>
      </w:r>
      <w:r w:rsidR="00525B12">
        <w:t xml:space="preserve"> </w:t>
      </w:r>
      <w:r w:rsidR="00525B12" w:rsidRPr="00525B12">
        <w:t>communication</w:t>
      </w:r>
      <w:r w:rsidR="00525B12">
        <w:t>, whereas non-remote card payments are initiated at terminals, incl</w:t>
      </w:r>
      <w:r w:rsidR="00133170">
        <w:t>uding</w:t>
      </w:r>
      <w:r w:rsidR="00525B12">
        <w:t xml:space="preserve"> </w:t>
      </w:r>
      <w:r w:rsidR="00525B12" w:rsidRPr="00525B12">
        <w:t>those using contactless technology</w:t>
      </w:r>
      <w:r w:rsidR="00525B12">
        <w:t>.</w:t>
      </w:r>
    </w:p>
  </w:footnote>
  <w:footnote w:id="7">
    <w:p w14:paraId="0D3714C9" w14:textId="52BEDA54" w:rsidR="00EF77C6" w:rsidRDefault="00EF77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93144">
        <w:t>C</w:t>
      </w:r>
      <w:r>
        <w:t>redit transfers also include SEPA instant credit transfers.</w:t>
      </w:r>
    </w:p>
  </w:footnote>
  <w:footnote w:id="8">
    <w:p w14:paraId="08EBD463" w14:textId="0513DD61" w:rsidR="00536791" w:rsidRDefault="00536791" w:rsidP="00A54335">
      <w:pPr>
        <w:pStyle w:val="FootnoteText"/>
        <w:tabs>
          <w:tab w:val="left" w:pos="142"/>
        </w:tabs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="0079090F">
        <w:t xml:space="preserve">The ECB payments statistics on </w:t>
      </w:r>
      <w:r w:rsidR="005479EC">
        <w:t>credit transfers</w:t>
      </w:r>
      <w:r>
        <w:t xml:space="preserve"> involving </w:t>
      </w:r>
      <w:r w:rsidR="006C631E" w:rsidRPr="006C631E">
        <w:t>non-monetary financial institutions</w:t>
      </w:r>
      <w:r w:rsidR="0079090F">
        <w:t xml:space="preserve"> also include</w:t>
      </w:r>
      <w:r w:rsidR="00486F37">
        <w:t xml:space="preserve"> </w:t>
      </w:r>
      <w:r w:rsidR="007076FF">
        <w:t>those</w:t>
      </w:r>
      <w:r w:rsidR="006C631E">
        <w:t xml:space="preserve"> between corporat</w:t>
      </w:r>
      <w:r w:rsidR="00851130">
        <w:t>ions</w:t>
      </w:r>
      <w:r w:rsidR="006C631E">
        <w:t xml:space="preserve"> and other business entities</w:t>
      </w:r>
      <w:r w:rsidR="0079090F">
        <w:t>,</w:t>
      </w:r>
      <w:r w:rsidR="00486F37">
        <w:t xml:space="preserve"> which significantly contribute to the high value of the total credit transfers in the euro area</w:t>
      </w:r>
      <w:r w:rsidR="006C631E">
        <w:t>.</w:t>
      </w:r>
      <w:r w:rsidR="007076FF">
        <w:t xml:space="preserve"> </w:t>
      </w:r>
    </w:p>
  </w:footnote>
  <w:footnote w:id="9">
    <w:p w14:paraId="6D0B3EFC" w14:textId="6846BC79" w:rsidR="003A0DE2" w:rsidRDefault="003A0D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51130">
        <w:t>C</w:t>
      </w:r>
      <w:r>
        <w:t xml:space="preserve">ards with a payment function </w:t>
      </w:r>
      <w:r w:rsidR="00133170">
        <w:t>exclude</w:t>
      </w:r>
      <w:r>
        <w:t xml:space="preserve"> </w:t>
      </w:r>
      <w:r w:rsidR="00133170">
        <w:t>cards</w:t>
      </w:r>
      <w:r>
        <w:t xml:space="preserve"> </w:t>
      </w:r>
      <w:r w:rsidR="00CF473E">
        <w:t>having only</w:t>
      </w:r>
      <w:r>
        <w:t xml:space="preserve"> an e-money function.</w:t>
      </w:r>
    </w:p>
  </w:footnote>
  <w:footnote w:id="10">
    <w:p w14:paraId="639E7C9A" w14:textId="3E8246C6" w:rsidR="00010C33" w:rsidRDefault="00010C33" w:rsidP="00010C33">
      <w:pPr>
        <w:pStyle w:val="FootnoteText"/>
        <w:tabs>
          <w:tab w:val="left" w:pos="709"/>
        </w:tabs>
        <w:ind w:left="142" w:hanging="142"/>
      </w:pPr>
      <w:r w:rsidRPr="00BB5C50">
        <w:rPr>
          <w:vertAlign w:val="superscript"/>
        </w:rPr>
        <w:footnoteRef/>
      </w:r>
      <w:r w:rsidRPr="00BB5C50">
        <w:rPr>
          <w:vertAlign w:val="superscript"/>
        </w:rPr>
        <w:t xml:space="preserve"> </w:t>
      </w:r>
      <w:r w:rsidRPr="0073771B">
        <w:t>Due to</w:t>
      </w:r>
      <w:r w:rsidR="009D07CF">
        <w:t xml:space="preserve"> multi-acquiring of card accepting devices</w:t>
      </w:r>
      <w:r w:rsidRPr="0073771B">
        <w:t xml:space="preserve">, the number of </w:t>
      </w:r>
      <w:r w:rsidR="009D07CF">
        <w:t xml:space="preserve">ATM and/or </w:t>
      </w:r>
      <w:r w:rsidRPr="0073771B">
        <w:t xml:space="preserve">POS terminals is affected by double </w:t>
      </w:r>
      <w:r w:rsidR="009F0B5E">
        <w:t>counting</w:t>
      </w:r>
      <w:r w:rsidR="009F0B5E" w:rsidRPr="0073771B">
        <w:t xml:space="preserve"> </w:t>
      </w:r>
      <w:r w:rsidRPr="0073771B">
        <w:t>in some euro area countries</w:t>
      </w:r>
      <w:r w:rsidRPr="00BB5C50">
        <w:t>.</w:t>
      </w:r>
      <w:r w:rsidRPr="0073771B">
        <w:t xml:space="preserve"> </w:t>
      </w:r>
      <w:r w:rsidR="00B17D1D">
        <w:t>This</w:t>
      </w:r>
      <w:r w:rsidR="009D07CF">
        <w:t xml:space="preserve"> has been flagged in the </w:t>
      </w:r>
      <w:hyperlink r:id="rId4" w:history="1">
        <w:r w:rsidR="009D07CF" w:rsidRPr="00C87E2C">
          <w:rPr>
            <w:rStyle w:val="Hyperlink"/>
          </w:rPr>
          <w:t>country-specific methodological notes</w:t>
        </w:r>
      </w:hyperlink>
      <w:r w:rsidR="009D07CF">
        <w:t xml:space="preserve"> of the </w:t>
      </w:r>
      <w:r w:rsidR="00B17D1D">
        <w:t xml:space="preserve">affected </w:t>
      </w:r>
      <w:r w:rsidR="009D07CF">
        <w:t xml:space="preserve">countries. </w:t>
      </w:r>
      <w:r w:rsidR="009F0B5E">
        <w:t xml:space="preserve">The concept of multi-acquiring refers to a business case where more than one payment service provider acquires </w:t>
      </w:r>
      <w:r w:rsidR="00361ECC">
        <w:t>transactions</w:t>
      </w:r>
      <w:r w:rsidR="009F0B5E">
        <w:t xml:space="preserve"> at the same card accepting device.</w:t>
      </w:r>
    </w:p>
  </w:footnote>
  <w:footnote w:id="11">
    <w:p w14:paraId="5EFF2CCE" w14:textId="3FE694C5" w:rsidR="008842D2" w:rsidRDefault="008842D2" w:rsidP="0094325C">
      <w:pPr>
        <w:pStyle w:val="FootnoteText"/>
        <w:tabs>
          <w:tab w:val="left" w:pos="851"/>
        </w:tabs>
        <w:ind w:left="142" w:hanging="142"/>
      </w:pPr>
      <w:r>
        <w:rPr>
          <w:rStyle w:val="FootnoteReference"/>
        </w:rPr>
        <w:footnoteRef/>
      </w:r>
      <w:r>
        <w:t xml:space="preserve"> Some of the payment systems</w:t>
      </w:r>
      <w:r w:rsidR="00B17D1D">
        <w:t xml:space="preserve"> mentioned</w:t>
      </w:r>
      <w:r>
        <w:t xml:space="preserve"> in this press release are s</w:t>
      </w:r>
      <w:r w:rsidRPr="008842D2">
        <w:t>ystemically important payment systems</w:t>
      </w:r>
      <w:r>
        <w:t xml:space="preserve"> at euro area level. More i</w:t>
      </w:r>
      <w:r w:rsidRPr="008842D2">
        <w:t xml:space="preserve">nformation can be found on the </w:t>
      </w:r>
      <w:hyperlink r:id="rId5" w:history="1">
        <w:r w:rsidRPr="00981934">
          <w:rPr>
            <w:rStyle w:val="Hyperlink"/>
            <w:rFonts w:eastAsiaTheme="minorEastAsia" w:cs="Arial"/>
            <w:color w:val="328DD2"/>
            <w:kern w:val="0"/>
            <w:szCs w:val="15"/>
            <w:lang w:val="en"/>
          </w:rPr>
          <w:t>ECB's website</w:t>
        </w:r>
      </w:hyperlink>
      <w:r w:rsidRPr="008842D2">
        <w:t>.</w:t>
      </w:r>
      <w:r w:rsidR="0094325C">
        <w:t xml:space="preserve"> </w:t>
      </w:r>
    </w:p>
  </w:footnote>
  <w:footnote w:id="12">
    <w:p w14:paraId="0DCED3C1" w14:textId="2AF32720" w:rsidR="00477120" w:rsidRDefault="00477120" w:rsidP="007516A0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 w:rsidR="007516A0">
        <w:t xml:space="preserve"> </w:t>
      </w:r>
      <w:r w:rsidR="0079090F">
        <w:t xml:space="preserve">The </w:t>
      </w:r>
      <w:r w:rsidRPr="00477120">
        <w:t>Mastercard Clearing Management System</w:t>
      </w:r>
      <w:r>
        <w:t xml:space="preserve"> (MCMS) is a payment system</w:t>
      </w:r>
      <w:r w:rsidR="0079090F">
        <w:t xml:space="preserve"> for processing transactions</w:t>
      </w:r>
      <w:r>
        <w:t xml:space="preserve"> </w:t>
      </w:r>
      <w:r w:rsidR="0079090F">
        <w:t>in euro and other currencies</w:t>
      </w:r>
      <w:r w:rsidR="007516A0">
        <w:t xml:space="preserve">. </w:t>
      </w:r>
      <w:r w:rsidR="00782772">
        <w:t xml:space="preserve"> </w:t>
      </w:r>
      <w:r w:rsidR="0079090F">
        <w:t xml:space="preserve">It is </w:t>
      </w:r>
      <w:r>
        <w:t>operated by Mastercard Europe in Belgium</w:t>
      </w:r>
      <w:r w:rsidR="00E140DB">
        <w:t xml:space="preserve"> with participants in </w:t>
      </w:r>
      <w:r w:rsidR="00AB755D">
        <w:t>more than 50</w:t>
      </w:r>
      <w:r w:rsidR="00E140DB">
        <w:t xml:space="preserve"> countries</w:t>
      </w:r>
      <w:r w:rsidR="00AB755D">
        <w:t xml:space="preserve"> and territories.</w:t>
      </w:r>
    </w:p>
  </w:footnote>
  <w:footnote w:id="13">
    <w:p w14:paraId="139D6344" w14:textId="13FD12E1" w:rsidR="002A10EF" w:rsidRPr="002A10EF" w:rsidRDefault="002A10EF" w:rsidP="008E02A3">
      <w:pPr>
        <w:pStyle w:val="FootnoteText"/>
        <w:tabs>
          <w:tab w:val="left" w:pos="284"/>
        </w:tabs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A10EF">
        <w:t xml:space="preserve">STEP2 is a pan-European automated clearing house for retail payments in euro operated by EBA CLEARING. </w:t>
      </w:r>
    </w:p>
  </w:footnote>
  <w:footnote w:id="14">
    <w:p w14:paraId="17F5D2F1" w14:textId="4385DB03" w:rsidR="00EE2649" w:rsidRPr="004077D1" w:rsidRDefault="00EE2649" w:rsidP="007516A0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 w:rsidR="007516A0">
        <w:t xml:space="preserve"> </w:t>
      </w:r>
      <w:r w:rsidR="001F1948">
        <w:t>T2 is the</w:t>
      </w:r>
      <w:r w:rsidR="003846CA" w:rsidRPr="003846CA">
        <w:t xml:space="preserve"> Eurosystem</w:t>
      </w:r>
      <w:r w:rsidR="003846CA">
        <w:t>’s</w:t>
      </w:r>
      <w:r w:rsidR="001F1948">
        <w:t xml:space="preserve"> r</w:t>
      </w:r>
      <w:r>
        <w:t xml:space="preserve">eal-time </w:t>
      </w:r>
      <w:r w:rsidR="001F1948">
        <w:t>g</w:t>
      </w:r>
      <w:r>
        <w:t xml:space="preserve">ross settlement </w:t>
      </w:r>
      <w:r w:rsidR="003846CA">
        <w:t>service</w:t>
      </w:r>
      <w:r w:rsidR="003846CA" w:rsidRPr="003846CA">
        <w:t xml:space="preserve"> that settle</w:t>
      </w:r>
      <w:r w:rsidR="003846CA">
        <w:t>s</w:t>
      </w:r>
      <w:r w:rsidR="003846CA" w:rsidRPr="003846CA">
        <w:t xml:space="preserve"> </w:t>
      </w:r>
      <w:r w:rsidR="003846CA">
        <w:t xml:space="preserve">euro </w:t>
      </w:r>
      <w:r w:rsidR="003846CA" w:rsidRPr="003846CA">
        <w:t>payments in central bank money</w:t>
      </w:r>
      <w:r>
        <w:t xml:space="preserve">. </w:t>
      </w:r>
      <w:r w:rsidR="003846CA" w:rsidRPr="003846CA">
        <w:t>From a legal point of view</w:t>
      </w:r>
      <w:r w:rsidR="003846CA">
        <w:t xml:space="preserve">, T2 is part of the consolidated </w:t>
      </w:r>
      <w:r w:rsidR="003846CA" w:rsidRPr="003846CA">
        <w:t>TARGET Services</w:t>
      </w:r>
      <w:r w:rsidR="003846CA">
        <w:t xml:space="preserve"> platform, which</w:t>
      </w:r>
      <w:r w:rsidR="003846CA" w:rsidRPr="003846CA">
        <w:t xml:space="preserve"> </w:t>
      </w:r>
      <w:r w:rsidR="001F1948">
        <w:t>replaced</w:t>
      </w:r>
      <w:r w:rsidR="003846CA">
        <w:t xml:space="preserve"> the pre-existing</w:t>
      </w:r>
      <w:r w:rsidR="001F1948">
        <w:t xml:space="preserve"> TARGET2 </w:t>
      </w:r>
      <w:r w:rsidR="003846CA">
        <w:t xml:space="preserve">RTGS system </w:t>
      </w:r>
      <w:r>
        <w:t xml:space="preserve">operated by the Eurosystem </w:t>
      </w:r>
      <w:r w:rsidR="0089105C">
        <w:t xml:space="preserve">until March </w:t>
      </w:r>
      <w:r w:rsidR="0089105C" w:rsidRPr="007516A0">
        <w:t>2023</w:t>
      </w:r>
      <w:r w:rsidRPr="007516A0">
        <w:t>.</w:t>
      </w:r>
      <w:r w:rsidR="008C092B" w:rsidRPr="007516A0">
        <w:t xml:space="preserve"> </w:t>
      </w:r>
      <w:r w:rsidRPr="007516A0">
        <w:t>EURO1/STEP1 is an EU-wide multilateral net large-value payment system for euro payments operated by EBA CLEARING. Payments are processed in EURO1</w:t>
      </w:r>
      <w:r w:rsidR="001963C1" w:rsidRPr="007516A0">
        <w:t>/STEP1</w:t>
      </w:r>
      <w:r w:rsidRPr="007516A0">
        <w:t xml:space="preserve"> </w:t>
      </w:r>
      <w:r w:rsidR="00BB5C50" w:rsidRPr="007516A0">
        <w:t>t</w:t>
      </w:r>
      <w:r w:rsidRPr="007516A0">
        <w:t>hroughout the day and final balances are settled at the end of the day in T2.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901C6" w14:textId="702CB6DE" w:rsidR="0058400A" w:rsidRDefault="00584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BB06B" w14:textId="2995BAD1" w:rsidR="00994BA8" w:rsidRDefault="00785F76">
    <w:pPr>
      <w:pStyle w:val="Header"/>
      <w:tabs>
        <w:tab w:val="right" w:pos="9354"/>
      </w:tabs>
    </w:pPr>
    <w:r>
      <w:t xml:space="preserve">Press release / </w:t>
    </w:r>
    <w:r w:rsidR="00157BAA">
      <w:t>23</w:t>
    </w:r>
    <w:r>
      <w:t xml:space="preserve"> </w:t>
    </w:r>
    <w:r w:rsidR="00157BAA">
      <w:t>July</w:t>
    </w:r>
    <w:r w:rsidR="00604E14">
      <w:t xml:space="preserve"> </w:t>
    </w:r>
    <w:r>
      <w:t>202</w:t>
    </w:r>
    <w:r w:rsidR="009E2C0E">
      <w:t>5</w:t>
    </w:r>
  </w:p>
  <w:p w14:paraId="4BBBC466" w14:textId="71A30B0A" w:rsidR="00994BA8" w:rsidRDefault="000B64BF">
    <w:pPr>
      <w:pStyle w:val="Header"/>
      <w:tabs>
        <w:tab w:val="right" w:pos="9354"/>
      </w:tabs>
    </w:pPr>
    <w:proofErr w:type="gramStart"/>
    <w:r>
      <w:t>Payments</w:t>
    </w:r>
    <w:proofErr w:type="gramEnd"/>
    <w:r>
      <w:t xml:space="preserve"> statistics: </w:t>
    </w:r>
    <w:r w:rsidR="00D8141E">
      <w:t>second half of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79F9F" w14:textId="32BA2121" w:rsidR="00994BA8" w:rsidRDefault="008123DD">
    <w:pPr>
      <w:tabs>
        <w:tab w:val="center" w:pos="4535"/>
      </w:tabs>
      <w:spacing w:before="0" w:after="454" w:line="240" w:lineRule="auto"/>
      <w:jc w:val="center"/>
      <w:rPr>
        <w:rFonts w:ascii="Times" w:hAnsi="Times" w:cstheme="minorBidi"/>
        <w:color w:val="auto"/>
        <w:sz w:val="24"/>
        <w:szCs w:val="24"/>
      </w:rPr>
    </w:pPr>
    <w:r>
      <w:rPr>
        <w:rFonts w:ascii="Times" w:hAnsi="Times" w:cstheme="minorBidi"/>
        <w:noProof/>
        <w:color w:val="auto"/>
        <w:sz w:val="24"/>
        <w:szCs w:val="24"/>
      </w:rPr>
      <w:drawing>
        <wp:inline distT="0" distB="0" distL="0" distR="0" wp14:anchorId="173A9AF7" wp14:editId="3E57C2AF">
          <wp:extent cx="1851660" cy="7924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F802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AD624C0"/>
    <w:lvl w:ilvl="0">
      <w:numFmt w:val="bullet"/>
      <w:lvlText w:val="*"/>
      <w:lvlJc w:val="left"/>
    </w:lvl>
  </w:abstractNum>
  <w:abstractNum w:abstractNumId="2" w15:restartNumberingAfterBreak="0">
    <w:nsid w:val="1281190B"/>
    <w:multiLevelType w:val="hybridMultilevel"/>
    <w:tmpl w:val="92600694"/>
    <w:lvl w:ilvl="0" w:tplc="93D6EDD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F3319"/>
    <w:multiLevelType w:val="hybridMultilevel"/>
    <w:tmpl w:val="FA342D20"/>
    <w:lvl w:ilvl="0" w:tplc="18AE4B52">
      <w:start w:val="1"/>
      <w:numFmt w:val="lowerLetter"/>
      <w:lvlText w:val="%1)"/>
      <w:lvlJc w:val="left"/>
      <w:pPr>
        <w:ind w:left="133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050" w:hanging="360"/>
      </w:pPr>
    </w:lvl>
    <w:lvl w:ilvl="2" w:tplc="0809001B" w:tentative="1">
      <w:start w:val="1"/>
      <w:numFmt w:val="lowerRoman"/>
      <w:lvlText w:val="%3."/>
      <w:lvlJc w:val="right"/>
      <w:pPr>
        <w:ind w:left="2770" w:hanging="180"/>
      </w:pPr>
    </w:lvl>
    <w:lvl w:ilvl="3" w:tplc="0809000F" w:tentative="1">
      <w:start w:val="1"/>
      <w:numFmt w:val="decimal"/>
      <w:lvlText w:val="%4."/>
      <w:lvlJc w:val="left"/>
      <w:pPr>
        <w:ind w:left="3490" w:hanging="360"/>
      </w:pPr>
    </w:lvl>
    <w:lvl w:ilvl="4" w:tplc="08090019" w:tentative="1">
      <w:start w:val="1"/>
      <w:numFmt w:val="lowerLetter"/>
      <w:lvlText w:val="%5."/>
      <w:lvlJc w:val="left"/>
      <w:pPr>
        <w:ind w:left="4210" w:hanging="360"/>
      </w:pPr>
    </w:lvl>
    <w:lvl w:ilvl="5" w:tplc="0809001B" w:tentative="1">
      <w:start w:val="1"/>
      <w:numFmt w:val="lowerRoman"/>
      <w:lvlText w:val="%6."/>
      <w:lvlJc w:val="right"/>
      <w:pPr>
        <w:ind w:left="4930" w:hanging="180"/>
      </w:pPr>
    </w:lvl>
    <w:lvl w:ilvl="6" w:tplc="0809000F" w:tentative="1">
      <w:start w:val="1"/>
      <w:numFmt w:val="decimal"/>
      <w:lvlText w:val="%7."/>
      <w:lvlJc w:val="left"/>
      <w:pPr>
        <w:ind w:left="5650" w:hanging="360"/>
      </w:pPr>
    </w:lvl>
    <w:lvl w:ilvl="7" w:tplc="08090019" w:tentative="1">
      <w:start w:val="1"/>
      <w:numFmt w:val="lowerLetter"/>
      <w:lvlText w:val="%8."/>
      <w:lvlJc w:val="left"/>
      <w:pPr>
        <w:ind w:left="6370" w:hanging="360"/>
      </w:pPr>
    </w:lvl>
    <w:lvl w:ilvl="8" w:tplc="08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4" w15:restartNumberingAfterBreak="0">
    <w:nsid w:val="202F697E"/>
    <w:multiLevelType w:val="hybridMultilevel"/>
    <w:tmpl w:val="CD98DDBC"/>
    <w:lvl w:ilvl="0" w:tplc="F90AA6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64D8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456A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6ECB4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CD891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494D2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11E4C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DF63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1ACDB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21D80597"/>
    <w:multiLevelType w:val="hybridMultilevel"/>
    <w:tmpl w:val="8110E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D6FAE"/>
    <w:multiLevelType w:val="hybridMultilevel"/>
    <w:tmpl w:val="6700E3F0"/>
    <w:lvl w:ilvl="0" w:tplc="010C90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221015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19EAA4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ABFC7D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5B00AA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18454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F0B26CC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010D97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88470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7" w15:restartNumberingAfterBreak="0">
    <w:nsid w:val="779616F8"/>
    <w:multiLevelType w:val="multilevel"/>
    <w:tmpl w:val="A0FEBA1A"/>
    <w:lvl w:ilvl="0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EB36A8"/>
    <w:multiLevelType w:val="hybridMultilevel"/>
    <w:tmpl w:val="86CE0018"/>
    <w:lvl w:ilvl="0" w:tplc="D68067B2">
      <w:start w:val="1"/>
      <w:numFmt w:val="bullet"/>
      <w:pStyle w:val="notesBullets"/>
      <w:lvlText w:val=""/>
      <w:lvlJc w:val="left"/>
      <w:pPr>
        <w:ind w:left="720" w:hanging="360"/>
      </w:pPr>
      <w:rPr>
        <w:rFonts w:ascii="Symbol" w:hAnsi="Symbol" w:hint="default"/>
        <w:sz w:val="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627604">
    <w:abstractNumId w:val="0"/>
  </w:num>
  <w:num w:numId="2" w16cid:durableId="1437366391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auto"/>
          <w:sz w:val="20"/>
          <w:szCs w:val="22"/>
        </w:rPr>
      </w:lvl>
    </w:lvlOverride>
  </w:num>
  <w:num w:numId="3" w16cid:durableId="125710004">
    <w:abstractNumId w:val="2"/>
  </w:num>
  <w:num w:numId="4" w16cid:durableId="206063911">
    <w:abstractNumId w:val="8"/>
  </w:num>
  <w:num w:numId="5" w16cid:durableId="77099541">
    <w:abstractNumId w:val="7"/>
  </w:num>
  <w:num w:numId="6" w16cid:durableId="1269118894">
    <w:abstractNumId w:val="5"/>
  </w:num>
  <w:num w:numId="7" w16cid:durableId="714697888">
    <w:abstractNumId w:val="3"/>
  </w:num>
  <w:num w:numId="8" w16cid:durableId="489827819">
    <w:abstractNumId w:val="1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0"/>
          <w:szCs w:val="22"/>
        </w:rPr>
      </w:lvl>
    </w:lvlOverride>
  </w:num>
  <w:num w:numId="9" w16cid:durableId="1678146881">
    <w:abstractNumId w:val="2"/>
  </w:num>
  <w:num w:numId="10" w16cid:durableId="669406727">
    <w:abstractNumId w:val="6"/>
  </w:num>
  <w:num w:numId="11" w16cid:durableId="1325280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123DD"/>
    <w:rsid w:val="00000C71"/>
    <w:rsid w:val="000016D9"/>
    <w:rsid w:val="000045CA"/>
    <w:rsid w:val="00005190"/>
    <w:rsid w:val="00007611"/>
    <w:rsid w:val="00010B38"/>
    <w:rsid w:val="00010C33"/>
    <w:rsid w:val="00011FF9"/>
    <w:rsid w:val="00012DAA"/>
    <w:rsid w:val="00015002"/>
    <w:rsid w:val="000172D6"/>
    <w:rsid w:val="00020EB5"/>
    <w:rsid w:val="0002209F"/>
    <w:rsid w:val="000226CF"/>
    <w:rsid w:val="000232D0"/>
    <w:rsid w:val="00024A3B"/>
    <w:rsid w:val="00025F2E"/>
    <w:rsid w:val="00031084"/>
    <w:rsid w:val="000321DE"/>
    <w:rsid w:val="00032936"/>
    <w:rsid w:val="00035FD6"/>
    <w:rsid w:val="00036118"/>
    <w:rsid w:val="000363B5"/>
    <w:rsid w:val="00037F3B"/>
    <w:rsid w:val="00041717"/>
    <w:rsid w:val="000421A0"/>
    <w:rsid w:val="00042D08"/>
    <w:rsid w:val="00044D07"/>
    <w:rsid w:val="00045D59"/>
    <w:rsid w:val="00046730"/>
    <w:rsid w:val="000469A8"/>
    <w:rsid w:val="00050155"/>
    <w:rsid w:val="0005097B"/>
    <w:rsid w:val="00054D7D"/>
    <w:rsid w:val="0005534E"/>
    <w:rsid w:val="000556BD"/>
    <w:rsid w:val="00056098"/>
    <w:rsid w:val="00057F0C"/>
    <w:rsid w:val="0006358C"/>
    <w:rsid w:val="00063687"/>
    <w:rsid w:val="00067CBF"/>
    <w:rsid w:val="000712A2"/>
    <w:rsid w:val="000724E9"/>
    <w:rsid w:val="00072A8A"/>
    <w:rsid w:val="000751C4"/>
    <w:rsid w:val="00077A70"/>
    <w:rsid w:val="000810E3"/>
    <w:rsid w:val="00081626"/>
    <w:rsid w:val="0008274A"/>
    <w:rsid w:val="000833CE"/>
    <w:rsid w:val="00083B31"/>
    <w:rsid w:val="000867F9"/>
    <w:rsid w:val="00086871"/>
    <w:rsid w:val="000934D3"/>
    <w:rsid w:val="000957B1"/>
    <w:rsid w:val="00095C14"/>
    <w:rsid w:val="00095FA5"/>
    <w:rsid w:val="000A027C"/>
    <w:rsid w:val="000A14CC"/>
    <w:rsid w:val="000A2885"/>
    <w:rsid w:val="000A2B3C"/>
    <w:rsid w:val="000A2D46"/>
    <w:rsid w:val="000A38BC"/>
    <w:rsid w:val="000B1649"/>
    <w:rsid w:val="000B53C7"/>
    <w:rsid w:val="000B5F4B"/>
    <w:rsid w:val="000B603B"/>
    <w:rsid w:val="000B64BF"/>
    <w:rsid w:val="000C0F03"/>
    <w:rsid w:val="000C166D"/>
    <w:rsid w:val="000C3C95"/>
    <w:rsid w:val="000C44E4"/>
    <w:rsid w:val="000C593D"/>
    <w:rsid w:val="000C6E5C"/>
    <w:rsid w:val="000D072D"/>
    <w:rsid w:val="000D3D7F"/>
    <w:rsid w:val="000D4D94"/>
    <w:rsid w:val="000D793C"/>
    <w:rsid w:val="000D7DDE"/>
    <w:rsid w:val="000E3681"/>
    <w:rsid w:val="000E43A2"/>
    <w:rsid w:val="000E4460"/>
    <w:rsid w:val="000E542B"/>
    <w:rsid w:val="000E54C5"/>
    <w:rsid w:val="000E55C1"/>
    <w:rsid w:val="000E5DAC"/>
    <w:rsid w:val="000F009A"/>
    <w:rsid w:val="000F33A2"/>
    <w:rsid w:val="0010445C"/>
    <w:rsid w:val="00104853"/>
    <w:rsid w:val="00105717"/>
    <w:rsid w:val="00107BF6"/>
    <w:rsid w:val="00110677"/>
    <w:rsid w:val="001109C6"/>
    <w:rsid w:val="00112A0E"/>
    <w:rsid w:val="00112FC5"/>
    <w:rsid w:val="00114A4D"/>
    <w:rsid w:val="00122BCA"/>
    <w:rsid w:val="001231F5"/>
    <w:rsid w:val="001233D3"/>
    <w:rsid w:val="00124155"/>
    <w:rsid w:val="00127EB1"/>
    <w:rsid w:val="00131F10"/>
    <w:rsid w:val="00133170"/>
    <w:rsid w:val="00134800"/>
    <w:rsid w:val="00134985"/>
    <w:rsid w:val="00135FD6"/>
    <w:rsid w:val="0013616F"/>
    <w:rsid w:val="00136358"/>
    <w:rsid w:val="0013642C"/>
    <w:rsid w:val="00140284"/>
    <w:rsid w:val="0014081B"/>
    <w:rsid w:val="00140B91"/>
    <w:rsid w:val="00140FFC"/>
    <w:rsid w:val="00142426"/>
    <w:rsid w:val="001434E0"/>
    <w:rsid w:val="00144C77"/>
    <w:rsid w:val="00145A37"/>
    <w:rsid w:val="00145B0B"/>
    <w:rsid w:val="00146AC6"/>
    <w:rsid w:val="00146FAC"/>
    <w:rsid w:val="00147436"/>
    <w:rsid w:val="00154380"/>
    <w:rsid w:val="00154C0B"/>
    <w:rsid w:val="00155018"/>
    <w:rsid w:val="001558FE"/>
    <w:rsid w:val="00157413"/>
    <w:rsid w:val="00157BAA"/>
    <w:rsid w:val="0016017F"/>
    <w:rsid w:val="00161EB9"/>
    <w:rsid w:val="00163562"/>
    <w:rsid w:val="00164649"/>
    <w:rsid w:val="00164DDB"/>
    <w:rsid w:val="00166465"/>
    <w:rsid w:val="001730AB"/>
    <w:rsid w:val="001734E5"/>
    <w:rsid w:val="00180D32"/>
    <w:rsid w:val="00180EED"/>
    <w:rsid w:val="00182E66"/>
    <w:rsid w:val="0018566F"/>
    <w:rsid w:val="0018575E"/>
    <w:rsid w:val="00187557"/>
    <w:rsid w:val="00191B9F"/>
    <w:rsid w:val="001963C1"/>
    <w:rsid w:val="001A55FF"/>
    <w:rsid w:val="001A59B6"/>
    <w:rsid w:val="001B2E6C"/>
    <w:rsid w:val="001B49C7"/>
    <w:rsid w:val="001B7CC6"/>
    <w:rsid w:val="001C02D6"/>
    <w:rsid w:val="001C1413"/>
    <w:rsid w:val="001C16F6"/>
    <w:rsid w:val="001C1ABD"/>
    <w:rsid w:val="001C1F43"/>
    <w:rsid w:val="001C4CD2"/>
    <w:rsid w:val="001C7163"/>
    <w:rsid w:val="001D36FC"/>
    <w:rsid w:val="001D44E0"/>
    <w:rsid w:val="001D77AD"/>
    <w:rsid w:val="001E1261"/>
    <w:rsid w:val="001E1A50"/>
    <w:rsid w:val="001E4896"/>
    <w:rsid w:val="001F033E"/>
    <w:rsid w:val="001F1948"/>
    <w:rsid w:val="001F1C9F"/>
    <w:rsid w:val="001F35A9"/>
    <w:rsid w:val="001F3DF0"/>
    <w:rsid w:val="001F70D8"/>
    <w:rsid w:val="001F73B7"/>
    <w:rsid w:val="001F7C0D"/>
    <w:rsid w:val="002010E7"/>
    <w:rsid w:val="002019B6"/>
    <w:rsid w:val="00201EED"/>
    <w:rsid w:val="00201FDD"/>
    <w:rsid w:val="00202A02"/>
    <w:rsid w:val="002036C5"/>
    <w:rsid w:val="00203D6E"/>
    <w:rsid w:val="00205BFA"/>
    <w:rsid w:val="002075A1"/>
    <w:rsid w:val="002106C3"/>
    <w:rsid w:val="00213DDC"/>
    <w:rsid w:val="00213FCA"/>
    <w:rsid w:val="002146AC"/>
    <w:rsid w:val="00216115"/>
    <w:rsid w:val="0021633B"/>
    <w:rsid w:val="00217254"/>
    <w:rsid w:val="0021770E"/>
    <w:rsid w:val="002219BF"/>
    <w:rsid w:val="0022382D"/>
    <w:rsid w:val="0022394D"/>
    <w:rsid w:val="00225709"/>
    <w:rsid w:val="00225D7F"/>
    <w:rsid w:val="002315C1"/>
    <w:rsid w:val="00232D0D"/>
    <w:rsid w:val="00232D97"/>
    <w:rsid w:val="00232EDA"/>
    <w:rsid w:val="00233A1B"/>
    <w:rsid w:val="00233BC3"/>
    <w:rsid w:val="0023404A"/>
    <w:rsid w:val="002348BE"/>
    <w:rsid w:val="002405F9"/>
    <w:rsid w:val="00241355"/>
    <w:rsid w:val="002437D6"/>
    <w:rsid w:val="00243B06"/>
    <w:rsid w:val="002449AE"/>
    <w:rsid w:val="00244F74"/>
    <w:rsid w:val="002462A8"/>
    <w:rsid w:val="00252132"/>
    <w:rsid w:val="0025222A"/>
    <w:rsid w:val="002536F2"/>
    <w:rsid w:val="00257406"/>
    <w:rsid w:val="002574EF"/>
    <w:rsid w:val="002611D9"/>
    <w:rsid w:val="00261305"/>
    <w:rsid w:val="00261E28"/>
    <w:rsid w:val="002646A4"/>
    <w:rsid w:val="00264AF7"/>
    <w:rsid w:val="002656EE"/>
    <w:rsid w:val="002671CA"/>
    <w:rsid w:val="00270414"/>
    <w:rsid w:val="00274B79"/>
    <w:rsid w:val="00275889"/>
    <w:rsid w:val="002819CA"/>
    <w:rsid w:val="002830DE"/>
    <w:rsid w:val="00283478"/>
    <w:rsid w:val="00283CAC"/>
    <w:rsid w:val="002841A3"/>
    <w:rsid w:val="0028536E"/>
    <w:rsid w:val="002853B3"/>
    <w:rsid w:val="002868EE"/>
    <w:rsid w:val="00287760"/>
    <w:rsid w:val="00287C65"/>
    <w:rsid w:val="00292326"/>
    <w:rsid w:val="002978CB"/>
    <w:rsid w:val="002A105F"/>
    <w:rsid w:val="002A10EF"/>
    <w:rsid w:val="002A2268"/>
    <w:rsid w:val="002A387C"/>
    <w:rsid w:val="002A3903"/>
    <w:rsid w:val="002A5532"/>
    <w:rsid w:val="002B1080"/>
    <w:rsid w:val="002B28B0"/>
    <w:rsid w:val="002B2B08"/>
    <w:rsid w:val="002B35D8"/>
    <w:rsid w:val="002B3660"/>
    <w:rsid w:val="002B3DE2"/>
    <w:rsid w:val="002B41A1"/>
    <w:rsid w:val="002B44CB"/>
    <w:rsid w:val="002B4756"/>
    <w:rsid w:val="002B484C"/>
    <w:rsid w:val="002B48F8"/>
    <w:rsid w:val="002B4FFF"/>
    <w:rsid w:val="002B61AD"/>
    <w:rsid w:val="002B646D"/>
    <w:rsid w:val="002B709C"/>
    <w:rsid w:val="002B7B29"/>
    <w:rsid w:val="002C0273"/>
    <w:rsid w:val="002C4D89"/>
    <w:rsid w:val="002C5028"/>
    <w:rsid w:val="002C6806"/>
    <w:rsid w:val="002C77AB"/>
    <w:rsid w:val="002D2AE0"/>
    <w:rsid w:val="002D36ED"/>
    <w:rsid w:val="002D3B69"/>
    <w:rsid w:val="002D4862"/>
    <w:rsid w:val="002D4CAD"/>
    <w:rsid w:val="002D5C6C"/>
    <w:rsid w:val="002E13DB"/>
    <w:rsid w:val="002E1914"/>
    <w:rsid w:val="002E23C0"/>
    <w:rsid w:val="002E3351"/>
    <w:rsid w:val="002E44D4"/>
    <w:rsid w:val="002E6BC5"/>
    <w:rsid w:val="002E6C40"/>
    <w:rsid w:val="002E79BC"/>
    <w:rsid w:val="002E7DD6"/>
    <w:rsid w:val="002F15FF"/>
    <w:rsid w:val="002F2D35"/>
    <w:rsid w:val="002F51D2"/>
    <w:rsid w:val="002F55C5"/>
    <w:rsid w:val="002F664A"/>
    <w:rsid w:val="002F6CE5"/>
    <w:rsid w:val="00300227"/>
    <w:rsid w:val="003014BE"/>
    <w:rsid w:val="0030239E"/>
    <w:rsid w:val="003031D1"/>
    <w:rsid w:val="00303391"/>
    <w:rsid w:val="00303890"/>
    <w:rsid w:val="00303D91"/>
    <w:rsid w:val="00304CC4"/>
    <w:rsid w:val="0030526F"/>
    <w:rsid w:val="00306E47"/>
    <w:rsid w:val="003103B2"/>
    <w:rsid w:val="003119A9"/>
    <w:rsid w:val="00312BD7"/>
    <w:rsid w:val="00313F2C"/>
    <w:rsid w:val="003162D3"/>
    <w:rsid w:val="0031791E"/>
    <w:rsid w:val="00317F56"/>
    <w:rsid w:val="0032056B"/>
    <w:rsid w:val="00320F30"/>
    <w:rsid w:val="003218EC"/>
    <w:rsid w:val="0032349D"/>
    <w:rsid w:val="00324E2A"/>
    <w:rsid w:val="0032720D"/>
    <w:rsid w:val="00330B78"/>
    <w:rsid w:val="00331942"/>
    <w:rsid w:val="0033556F"/>
    <w:rsid w:val="00343DC2"/>
    <w:rsid w:val="00344793"/>
    <w:rsid w:val="003448A4"/>
    <w:rsid w:val="00345BFF"/>
    <w:rsid w:val="003467A6"/>
    <w:rsid w:val="003500DD"/>
    <w:rsid w:val="00350A65"/>
    <w:rsid w:val="0035268E"/>
    <w:rsid w:val="00352E8C"/>
    <w:rsid w:val="00361ECC"/>
    <w:rsid w:val="0036268E"/>
    <w:rsid w:val="003629BB"/>
    <w:rsid w:val="003656C5"/>
    <w:rsid w:val="0036660A"/>
    <w:rsid w:val="003720DB"/>
    <w:rsid w:val="00376AF3"/>
    <w:rsid w:val="00377170"/>
    <w:rsid w:val="00380EF0"/>
    <w:rsid w:val="003826B1"/>
    <w:rsid w:val="0038394C"/>
    <w:rsid w:val="00383E2D"/>
    <w:rsid w:val="003846CA"/>
    <w:rsid w:val="00384D76"/>
    <w:rsid w:val="003852AF"/>
    <w:rsid w:val="00386786"/>
    <w:rsid w:val="00390B76"/>
    <w:rsid w:val="00391299"/>
    <w:rsid w:val="0039200E"/>
    <w:rsid w:val="00396273"/>
    <w:rsid w:val="00397983"/>
    <w:rsid w:val="003A01E7"/>
    <w:rsid w:val="003A0DE2"/>
    <w:rsid w:val="003A4DA9"/>
    <w:rsid w:val="003A55D3"/>
    <w:rsid w:val="003A5801"/>
    <w:rsid w:val="003B0D27"/>
    <w:rsid w:val="003B3859"/>
    <w:rsid w:val="003B5267"/>
    <w:rsid w:val="003B5532"/>
    <w:rsid w:val="003C08B9"/>
    <w:rsid w:val="003C0F92"/>
    <w:rsid w:val="003C23EE"/>
    <w:rsid w:val="003C2B2F"/>
    <w:rsid w:val="003C31F4"/>
    <w:rsid w:val="003C5911"/>
    <w:rsid w:val="003C62F1"/>
    <w:rsid w:val="003C7530"/>
    <w:rsid w:val="003D25DF"/>
    <w:rsid w:val="003D2D63"/>
    <w:rsid w:val="003D2D6E"/>
    <w:rsid w:val="003D3222"/>
    <w:rsid w:val="003E03F9"/>
    <w:rsid w:val="003E100E"/>
    <w:rsid w:val="003E19F4"/>
    <w:rsid w:val="003E330C"/>
    <w:rsid w:val="003E371E"/>
    <w:rsid w:val="003E5ADB"/>
    <w:rsid w:val="003E6CC2"/>
    <w:rsid w:val="003F0FC8"/>
    <w:rsid w:val="003F17FF"/>
    <w:rsid w:val="003F183E"/>
    <w:rsid w:val="003F3163"/>
    <w:rsid w:val="003F6EC7"/>
    <w:rsid w:val="003F6F9B"/>
    <w:rsid w:val="003F753E"/>
    <w:rsid w:val="004012B9"/>
    <w:rsid w:val="00402E1D"/>
    <w:rsid w:val="00403A32"/>
    <w:rsid w:val="00403E62"/>
    <w:rsid w:val="004047E8"/>
    <w:rsid w:val="0040492C"/>
    <w:rsid w:val="00404E23"/>
    <w:rsid w:val="00405134"/>
    <w:rsid w:val="00405DB8"/>
    <w:rsid w:val="004077D1"/>
    <w:rsid w:val="00410DB0"/>
    <w:rsid w:val="00411807"/>
    <w:rsid w:val="00414027"/>
    <w:rsid w:val="0041757A"/>
    <w:rsid w:val="00417E83"/>
    <w:rsid w:val="00421304"/>
    <w:rsid w:val="0042223A"/>
    <w:rsid w:val="00425570"/>
    <w:rsid w:val="004263A4"/>
    <w:rsid w:val="004302EF"/>
    <w:rsid w:val="0043050A"/>
    <w:rsid w:val="0043082B"/>
    <w:rsid w:val="00436DC3"/>
    <w:rsid w:val="0043715A"/>
    <w:rsid w:val="004379E6"/>
    <w:rsid w:val="004404D0"/>
    <w:rsid w:val="004411AA"/>
    <w:rsid w:val="0044267C"/>
    <w:rsid w:val="00443315"/>
    <w:rsid w:val="00444CED"/>
    <w:rsid w:val="004503D8"/>
    <w:rsid w:val="00451684"/>
    <w:rsid w:val="004528F9"/>
    <w:rsid w:val="00452F9C"/>
    <w:rsid w:val="0045557B"/>
    <w:rsid w:val="00455A52"/>
    <w:rsid w:val="00460598"/>
    <w:rsid w:val="00460CAD"/>
    <w:rsid w:val="00461765"/>
    <w:rsid w:val="00461ABA"/>
    <w:rsid w:val="00462707"/>
    <w:rsid w:val="004638A4"/>
    <w:rsid w:val="00463927"/>
    <w:rsid w:val="00463AB1"/>
    <w:rsid w:val="0046606C"/>
    <w:rsid w:val="0046738E"/>
    <w:rsid w:val="00470F94"/>
    <w:rsid w:val="0047173D"/>
    <w:rsid w:val="00472010"/>
    <w:rsid w:val="004732AE"/>
    <w:rsid w:val="00473E77"/>
    <w:rsid w:val="00474522"/>
    <w:rsid w:val="00475CED"/>
    <w:rsid w:val="00477120"/>
    <w:rsid w:val="00481C10"/>
    <w:rsid w:val="00483892"/>
    <w:rsid w:val="00485671"/>
    <w:rsid w:val="00486F37"/>
    <w:rsid w:val="00487361"/>
    <w:rsid w:val="00490F29"/>
    <w:rsid w:val="00491327"/>
    <w:rsid w:val="00493122"/>
    <w:rsid w:val="00494151"/>
    <w:rsid w:val="004947A5"/>
    <w:rsid w:val="004955D6"/>
    <w:rsid w:val="00497F9A"/>
    <w:rsid w:val="004A24FF"/>
    <w:rsid w:val="004A6154"/>
    <w:rsid w:val="004A66EF"/>
    <w:rsid w:val="004A74BF"/>
    <w:rsid w:val="004B0982"/>
    <w:rsid w:val="004B2D56"/>
    <w:rsid w:val="004B5445"/>
    <w:rsid w:val="004B55AA"/>
    <w:rsid w:val="004C0D18"/>
    <w:rsid w:val="004C1892"/>
    <w:rsid w:val="004C29E4"/>
    <w:rsid w:val="004D0CAB"/>
    <w:rsid w:val="004D638B"/>
    <w:rsid w:val="004D648E"/>
    <w:rsid w:val="004D6C84"/>
    <w:rsid w:val="004D76C4"/>
    <w:rsid w:val="004D7EE2"/>
    <w:rsid w:val="004E0229"/>
    <w:rsid w:val="004E07BF"/>
    <w:rsid w:val="004E3909"/>
    <w:rsid w:val="004E4809"/>
    <w:rsid w:val="004E53B5"/>
    <w:rsid w:val="004E6037"/>
    <w:rsid w:val="004E60EB"/>
    <w:rsid w:val="004E7069"/>
    <w:rsid w:val="004F0D2C"/>
    <w:rsid w:val="004F1646"/>
    <w:rsid w:val="004F409C"/>
    <w:rsid w:val="004F7B87"/>
    <w:rsid w:val="004F7BD2"/>
    <w:rsid w:val="0050295C"/>
    <w:rsid w:val="00505084"/>
    <w:rsid w:val="005073AC"/>
    <w:rsid w:val="00511073"/>
    <w:rsid w:val="00512891"/>
    <w:rsid w:val="00514F54"/>
    <w:rsid w:val="005152D9"/>
    <w:rsid w:val="00515FF5"/>
    <w:rsid w:val="0051637D"/>
    <w:rsid w:val="005165F8"/>
    <w:rsid w:val="00516FCC"/>
    <w:rsid w:val="00517AAE"/>
    <w:rsid w:val="00517BC6"/>
    <w:rsid w:val="00521EB2"/>
    <w:rsid w:val="00522312"/>
    <w:rsid w:val="00522FE8"/>
    <w:rsid w:val="00523CC7"/>
    <w:rsid w:val="005259A7"/>
    <w:rsid w:val="00525B12"/>
    <w:rsid w:val="00525DC2"/>
    <w:rsid w:val="00526005"/>
    <w:rsid w:val="00527949"/>
    <w:rsid w:val="00531760"/>
    <w:rsid w:val="00531E7B"/>
    <w:rsid w:val="0053675E"/>
    <w:rsid w:val="00536791"/>
    <w:rsid w:val="005422E8"/>
    <w:rsid w:val="00543D69"/>
    <w:rsid w:val="005450E8"/>
    <w:rsid w:val="00545726"/>
    <w:rsid w:val="005462FD"/>
    <w:rsid w:val="005479EC"/>
    <w:rsid w:val="0055122C"/>
    <w:rsid w:val="005527DF"/>
    <w:rsid w:val="00553E22"/>
    <w:rsid w:val="00554047"/>
    <w:rsid w:val="00554196"/>
    <w:rsid w:val="00555417"/>
    <w:rsid w:val="005555CF"/>
    <w:rsid w:val="00556D49"/>
    <w:rsid w:val="00556FCF"/>
    <w:rsid w:val="005577C3"/>
    <w:rsid w:val="00563659"/>
    <w:rsid w:val="00563DEA"/>
    <w:rsid w:val="00566D51"/>
    <w:rsid w:val="005711BE"/>
    <w:rsid w:val="00571F8F"/>
    <w:rsid w:val="005728CC"/>
    <w:rsid w:val="00574186"/>
    <w:rsid w:val="00574389"/>
    <w:rsid w:val="00574ADB"/>
    <w:rsid w:val="00576C08"/>
    <w:rsid w:val="005801D6"/>
    <w:rsid w:val="00582494"/>
    <w:rsid w:val="00582C7A"/>
    <w:rsid w:val="0058400A"/>
    <w:rsid w:val="00585190"/>
    <w:rsid w:val="00585999"/>
    <w:rsid w:val="0059041A"/>
    <w:rsid w:val="00590BFC"/>
    <w:rsid w:val="00592395"/>
    <w:rsid w:val="00593144"/>
    <w:rsid w:val="005932D8"/>
    <w:rsid w:val="0059356C"/>
    <w:rsid w:val="00593BC1"/>
    <w:rsid w:val="00596D50"/>
    <w:rsid w:val="005A0CC6"/>
    <w:rsid w:val="005A144B"/>
    <w:rsid w:val="005A16D0"/>
    <w:rsid w:val="005A6F70"/>
    <w:rsid w:val="005B32E8"/>
    <w:rsid w:val="005B3BCB"/>
    <w:rsid w:val="005B475B"/>
    <w:rsid w:val="005B7510"/>
    <w:rsid w:val="005B7E63"/>
    <w:rsid w:val="005C1FF6"/>
    <w:rsid w:val="005C68EF"/>
    <w:rsid w:val="005D021B"/>
    <w:rsid w:val="005D1A62"/>
    <w:rsid w:val="005D1F59"/>
    <w:rsid w:val="005D227A"/>
    <w:rsid w:val="005D24E0"/>
    <w:rsid w:val="005D485B"/>
    <w:rsid w:val="005D4A65"/>
    <w:rsid w:val="005D6B64"/>
    <w:rsid w:val="005D7280"/>
    <w:rsid w:val="005E0955"/>
    <w:rsid w:val="005E4695"/>
    <w:rsid w:val="005E4F7E"/>
    <w:rsid w:val="005E5745"/>
    <w:rsid w:val="005E5DF8"/>
    <w:rsid w:val="005E67FC"/>
    <w:rsid w:val="005E6CA9"/>
    <w:rsid w:val="005F12E3"/>
    <w:rsid w:val="005F2B59"/>
    <w:rsid w:val="005F36A8"/>
    <w:rsid w:val="005F3883"/>
    <w:rsid w:val="005F4033"/>
    <w:rsid w:val="005F558E"/>
    <w:rsid w:val="00602F75"/>
    <w:rsid w:val="00603E62"/>
    <w:rsid w:val="00604E14"/>
    <w:rsid w:val="006058F7"/>
    <w:rsid w:val="00605E75"/>
    <w:rsid w:val="00607072"/>
    <w:rsid w:val="006077F8"/>
    <w:rsid w:val="00610A6F"/>
    <w:rsid w:val="00610ECA"/>
    <w:rsid w:val="00611C43"/>
    <w:rsid w:val="006120E1"/>
    <w:rsid w:val="00612BA2"/>
    <w:rsid w:val="00617456"/>
    <w:rsid w:val="00617A2A"/>
    <w:rsid w:val="00617EB2"/>
    <w:rsid w:val="006206FB"/>
    <w:rsid w:val="006250F6"/>
    <w:rsid w:val="00630DC2"/>
    <w:rsid w:val="0063213D"/>
    <w:rsid w:val="006323A5"/>
    <w:rsid w:val="00632E5E"/>
    <w:rsid w:val="00633AD4"/>
    <w:rsid w:val="00634332"/>
    <w:rsid w:val="0063496E"/>
    <w:rsid w:val="00635618"/>
    <w:rsid w:val="00635CAF"/>
    <w:rsid w:val="00636EFD"/>
    <w:rsid w:val="00637325"/>
    <w:rsid w:val="006373A2"/>
    <w:rsid w:val="00640467"/>
    <w:rsid w:val="006410A7"/>
    <w:rsid w:val="00642801"/>
    <w:rsid w:val="00642CCC"/>
    <w:rsid w:val="00643551"/>
    <w:rsid w:val="006436E9"/>
    <w:rsid w:val="00644975"/>
    <w:rsid w:val="00647C61"/>
    <w:rsid w:val="00653E3B"/>
    <w:rsid w:val="00660F77"/>
    <w:rsid w:val="00662DC0"/>
    <w:rsid w:val="00663385"/>
    <w:rsid w:val="00664E45"/>
    <w:rsid w:val="00665025"/>
    <w:rsid w:val="00665420"/>
    <w:rsid w:val="00665B61"/>
    <w:rsid w:val="00667A07"/>
    <w:rsid w:val="00667EF0"/>
    <w:rsid w:val="0067177D"/>
    <w:rsid w:val="006718EF"/>
    <w:rsid w:val="00674530"/>
    <w:rsid w:val="00674E68"/>
    <w:rsid w:val="00676662"/>
    <w:rsid w:val="006768AA"/>
    <w:rsid w:val="00677964"/>
    <w:rsid w:val="0068170E"/>
    <w:rsid w:val="0068542D"/>
    <w:rsid w:val="00687BAA"/>
    <w:rsid w:val="006908B3"/>
    <w:rsid w:val="006911DD"/>
    <w:rsid w:val="006925C3"/>
    <w:rsid w:val="0069542D"/>
    <w:rsid w:val="006959D5"/>
    <w:rsid w:val="00695E71"/>
    <w:rsid w:val="00696429"/>
    <w:rsid w:val="006A2672"/>
    <w:rsid w:val="006A2C23"/>
    <w:rsid w:val="006A2CDC"/>
    <w:rsid w:val="006A2FA3"/>
    <w:rsid w:val="006A30EB"/>
    <w:rsid w:val="006A3A7C"/>
    <w:rsid w:val="006A3B9D"/>
    <w:rsid w:val="006A7342"/>
    <w:rsid w:val="006B1BE4"/>
    <w:rsid w:val="006B36A0"/>
    <w:rsid w:val="006C1FFC"/>
    <w:rsid w:val="006C2571"/>
    <w:rsid w:val="006C272D"/>
    <w:rsid w:val="006C2BA4"/>
    <w:rsid w:val="006C4AAF"/>
    <w:rsid w:val="006C5CD2"/>
    <w:rsid w:val="006C631E"/>
    <w:rsid w:val="006D26E7"/>
    <w:rsid w:val="006D2932"/>
    <w:rsid w:val="006D6317"/>
    <w:rsid w:val="006D6AC0"/>
    <w:rsid w:val="006E0752"/>
    <w:rsid w:val="006E14D2"/>
    <w:rsid w:val="006E170B"/>
    <w:rsid w:val="006E1831"/>
    <w:rsid w:val="006E43B9"/>
    <w:rsid w:val="006F00F5"/>
    <w:rsid w:val="006F0327"/>
    <w:rsid w:val="006F1428"/>
    <w:rsid w:val="006F25C5"/>
    <w:rsid w:val="006F3713"/>
    <w:rsid w:val="006F3B0B"/>
    <w:rsid w:val="006F5D48"/>
    <w:rsid w:val="006F5E35"/>
    <w:rsid w:val="006F663F"/>
    <w:rsid w:val="006F7120"/>
    <w:rsid w:val="00700AC9"/>
    <w:rsid w:val="00701D02"/>
    <w:rsid w:val="00704291"/>
    <w:rsid w:val="00704EFF"/>
    <w:rsid w:val="0070692C"/>
    <w:rsid w:val="00706961"/>
    <w:rsid w:val="00706D1B"/>
    <w:rsid w:val="007076FF"/>
    <w:rsid w:val="00711C7F"/>
    <w:rsid w:val="00712394"/>
    <w:rsid w:val="00714D18"/>
    <w:rsid w:val="0071574B"/>
    <w:rsid w:val="007213DD"/>
    <w:rsid w:val="00722014"/>
    <w:rsid w:val="00722FAC"/>
    <w:rsid w:val="007246EF"/>
    <w:rsid w:val="0072501E"/>
    <w:rsid w:val="007303F6"/>
    <w:rsid w:val="00733107"/>
    <w:rsid w:val="00733768"/>
    <w:rsid w:val="00734A17"/>
    <w:rsid w:val="00734C05"/>
    <w:rsid w:val="0073568B"/>
    <w:rsid w:val="0073771B"/>
    <w:rsid w:val="007378BF"/>
    <w:rsid w:val="007436B9"/>
    <w:rsid w:val="00745057"/>
    <w:rsid w:val="007468BB"/>
    <w:rsid w:val="00746ACB"/>
    <w:rsid w:val="007516A0"/>
    <w:rsid w:val="007527D5"/>
    <w:rsid w:val="00752DAF"/>
    <w:rsid w:val="00754C2E"/>
    <w:rsid w:val="00755649"/>
    <w:rsid w:val="007560B5"/>
    <w:rsid w:val="00757F8F"/>
    <w:rsid w:val="0076281D"/>
    <w:rsid w:val="007651CE"/>
    <w:rsid w:val="007660F5"/>
    <w:rsid w:val="00766252"/>
    <w:rsid w:val="00766C80"/>
    <w:rsid w:val="00766E02"/>
    <w:rsid w:val="00771C12"/>
    <w:rsid w:val="007725DC"/>
    <w:rsid w:val="007734FC"/>
    <w:rsid w:val="007767B9"/>
    <w:rsid w:val="0077718E"/>
    <w:rsid w:val="00777C32"/>
    <w:rsid w:val="007806DB"/>
    <w:rsid w:val="00782772"/>
    <w:rsid w:val="00785F76"/>
    <w:rsid w:val="0078775F"/>
    <w:rsid w:val="0079090F"/>
    <w:rsid w:val="00791063"/>
    <w:rsid w:val="007911E2"/>
    <w:rsid w:val="007927CF"/>
    <w:rsid w:val="00793C22"/>
    <w:rsid w:val="00796D62"/>
    <w:rsid w:val="00796F78"/>
    <w:rsid w:val="007A053B"/>
    <w:rsid w:val="007A12FC"/>
    <w:rsid w:val="007A19BA"/>
    <w:rsid w:val="007A2BDC"/>
    <w:rsid w:val="007A41DC"/>
    <w:rsid w:val="007A6F36"/>
    <w:rsid w:val="007B1B12"/>
    <w:rsid w:val="007B32DD"/>
    <w:rsid w:val="007B36EE"/>
    <w:rsid w:val="007B4222"/>
    <w:rsid w:val="007B4F88"/>
    <w:rsid w:val="007B575C"/>
    <w:rsid w:val="007B7E27"/>
    <w:rsid w:val="007C178F"/>
    <w:rsid w:val="007C4D7B"/>
    <w:rsid w:val="007C54A2"/>
    <w:rsid w:val="007C580B"/>
    <w:rsid w:val="007C69D7"/>
    <w:rsid w:val="007C7591"/>
    <w:rsid w:val="007C7CEA"/>
    <w:rsid w:val="007D23D4"/>
    <w:rsid w:val="007D2A5B"/>
    <w:rsid w:val="007D428C"/>
    <w:rsid w:val="007D4669"/>
    <w:rsid w:val="007D4C7F"/>
    <w:rsid w:val="007D7ABB"/>
    <w:rsid w:val="007D7BB9"/>
    <w:rsid w:val="007E0479"/>
    <w:rsid w:val="007E311B"/>
    <w:rsid w:val="007E5867"/>
    <w:rsid w:val="007E5F19"/>
    <w:rsid w:val="007E6308"/>
    <w:rsid w:val="007F52BC"/>
    <w:rsid w:val="007F577B"/>
    <w:rsid w:val="007F79FE"/>
    <w:rsid w:val="00800081"/>
    <w:rsid w:val="00802874"/>
    <w:rsid w:val="00805B08"/>
    <w:rsid w:val="00805CAE"/>
    <w:rsid w:val="00805F64"/>
    <w:rsid w:val="00807069"/>
    <w:rsid w:val="0080728E"/>
    <w:rsid w:val="00810AE6"/>
    <w:rsid w:val="0081133C"/>
    <w:rsid w:val="008113BB"/>
    <w:rsid w:val="008123DD"/>
    <w:rsid w:val="00812A11"/>
    <w:rsid w:val="00812D7F"/>
    <w:rsid w:val="008158E3"/>
    <w:rsid w:val="0081663E"/>
    <w:rsid w:val="00816691"/>
    <w:rsid w:val="008173B4"/>
    <w:rsid w:val="0082083F"/>
    <w:rsid w:val="00820A44"/>
    <w:rsid w:val="00820BD0"/>
    <w:rsid w:val="00821EDA"/>
    <w:rsid w:val="00823516"/>
    <w:rsid w:val="0082421D"/>
    <w:rsid w:val="008248F4"/>
    <w:rsid w:val="00825C99"/>
    <w:rsid w:val="00830198"/>
    <w:rsid w:val="00831088"/>
    <w:rsid w:val="008325E1"/>
    <w:rsid w:val="008335D1"/>
    <w:rsid w:val="00840680"/>
    <w:rsid w:val="00841064"/>
    <w:rsid w:val="00844372"/>
    <w:rsid w:val="0084500E"/>
    <w:rsid w:val="00845A2E"/>
    <w:rsid w:val="00845F49"/>
    <w:rsid w:val="00850232"/>
    <w:rsid w:val="00850ABE"/>
    <w:rsid w:val="00851130"/>
    <w:rsid w:val="008554AF"/>
    <w:rsid w:val="00860AE5"/>
    <w:rsid w:val="00862BA1"/>
    <w:rsid w:val="00863838"/>
    <w:rsid w:val="00864355"/>
    <w:rsid w:val="00867AAD"/>
    <w:rsid w:val="0087089B"/>
    <w:rsid w:val="00871A7F"/>
    <w:rsid w:val="00874A4E"/>
    <w:rsid w:val="00875C6C"/>
    <w:rsid w:val="00876097"/>
    <w:rsid w:val="00877144"/>
    <w:rsid w:val="008807D5"/>
    <w:rsid w:val="00880B6C"/>
    <w:rsid w:val="008818A8"/>
    <w:rsid w:val="008842D2"/>
    <w:rsid w:val="00890386"/>
    <w:rsid w:val="00890E5D"/>
    <w:rsid w:val="0089105C"/>
    <w:rsid w:val="00893608"/>
    <w:rsid w:val="00893636"/>
    <w:rsid w:val="008940F1"/>
    <w:rsid w:val="00894F4C"/>
    <w:rsid w:val="00895B72"/>
    <w:rsid w:val="0089612A"/>
    <w:rsid w:val="008A1D63"/>
    <w:rsid w:val="008A54E3"/>
    <w:rsid w:val="008A72AD"/>
    <w:rsid w:val="008A7DF3"/>
    <w:rsid w:val="008B1E3D"/>
    <w:rsid w:val="008B351C"/>
    <w:rsid w:val="008B6E46"/>
    <w:rsid w:val="008B7540"/>
    <w:rsid w:val="008C092B"/>
    <w:rsid w:val="008C32E9"/>
    <w:rsid w:val="008C5007"/>
    <w:rsid w:val="008D0B95"/>
    <w:rsid w:val="008D495C"/>
    <w:rsid w:val="008D5F63"/>
    <w:rsid w:val="008D6CE6"/>
    <w:rsid w:val="008E02A3"/>
    <w:rsid w:val="008E0751"/>
    <w:rsid w:val="008E1C09"/>
    <w:rsid w:val="008E1E79"/>
    <w:rsid w:val="008E30A5"/>
    <w:rsid w:val="008E4A2F"/>
    <w:rsid w:val="008E7DBC"/>
    <w:rsid w:val="008F26B5"/>
    <w:rsid w:val="008F3C43"/>
    <w:rsid w:val="008F4744"/>
    <w:rsid w:val="008F7374"/>
    <w:rsid w:val="0090053F"/>
    <w:rsid w:val="009009AA"/>
    <w:rsid w:val="00905C88"/>
    <w:rsid w:val="009064E0"/>
    <w:rsid w:val="00910A56"/>
    <w:rsid w:val="0091169D"/>
    <w:rsid w:val="00911B3B"/>
    <w:rsid w:val="00912A72"/>
    <w:rsid w:val="00915E90"/>
    <w:rsid w:val="009168A7"/>
    <w:rsid w:val="00917944"/>
    <w:rsid w:val="00921716"/>
    <w:rsid w:val="00924370"/>
    <w:rsid w:val="00930163"/>
    <w:rsid w:val="0093374F"/>
    <w:rsid w:val="00935077"/>
    <w:rsid w:val="0093611B"/>
    <w:rsid w:val="009403BD"/>
    <w:rsid w:val="00941F71"/>
    <w:rsid w:val="0094204A"/>
    <w:rsid w:val="0094325C"/>
    <w:rsid w:val="009446AE"/>
    <w:rsid w:val="00945DB2"/>
    <w:rsid w:val="0095048C"/>
    <w:rsid w:val="00950837"/>
    <w:rsid w:val="0095120D"/>
    <w:rsid w:val="009539FB"/>
    <w:rsid w:val="00955ABA"/>
    <w:rsid w:val="00956162"/>
    <w:rsid w:val="0096030D"/>
    <w:rsid w:val="00965D7A"/>
    <w:rsid w:val="00971A19"/>
    <w:rsid w:val="00974513"/>
    <w:rsid w:val="009751B0"/>
    <w:rsid w:val="0097604F"/>
    <w:rsid w:val="00976E4B"/>
    <w:rsid w:val="00977572"/>
    <w:rsid w:val="0097764D"/>
    <w:rsid w:val="00977A90"/>
    <w:rsid w:val="00980D88"/>
    <w:rsid w:val="0098168C"/>
    <w:rsid w:val="00981934"/>
    <w:rsid w:val="00981D3D"/>
    <w:rsid w:val="00983054"/>
    <w:rsid w:val="00983E88"/>
    <w:rsid w:val="00984CE5"/>
    <w:rsid w:val="00986DF5"/>
    <w:rsid w:val="009906A4"/>
    <w:rsid w:val="0099197B"/>
    <w:rsid w:val="009931E6"/>
    <w:rsid w:val="00994A64"/>
    <w:rsid w:val="00994BA8"/>
    <w:rsid w:val="009959B5"/>
    <w:rsid w:val="009A1B8E"/>
    <w:rsid w:val="009A32AF"/>
    <w:rsid w:val="009A3303"/>
    <w:rsid w:val="009A412F"/>
    <w:rsid w:val="009A470B"/>
    <w:rsid w:val="009A4ABB"/>
    <w:rsid w:val="009A647E"/>
    <w:rsid w:val="009A64F9"/>
    <w:rsid w:val="009A716F"/>
    <w:rsid w:val="009B3222"/>
    <w:rsid w:val="009C1D9B"/>
    <w:rsid w:val="009C5F8D"/>
    <w:rsid w:val="009C6899"/>
    <w:rsid w:val="009C6A76"/>
    <w:rsid w:val="009C7F1B"/>
    <w:rsid w:val="009D05BE"/>
    <w:rsid w:val="009D07CF"/>
    <w:rsid w:val="009D2208"/>
    <w:rsid w:val="009D24E6"/>
    <w:rsid w:val="009D2A4F"/>
    <w:rsid w:val="009D7D16"/>
    <w:rsid w:val="009E0328"/>
    <w:rsid w:val="009E0542"/>
    <w:rsid w:val="009E08A1"/>
    <w:rsid w:val="009E2277"/>
    <w:rsid w:val="009E24F1"/>
    <w:rsid w:val="009E2C0E"/>
    <w:rsid w:val="009E3602"/>
    <w:rsid w:val="009E4237"/>
    <w:rsid w:val="009E5996"/>
    <w:rsid w:val="009E6F7E"/>
    <w:rsid w:val="009F06EE"/>
    <w:rsid w:val="009F0B5E"/>
    <w:rsid w:val="009F1B61"/>
    <w:rsid w:val="009F4411"/>
    <w:rsid w:val="009F4DA5"/>
    <w:rsid w:val="00A00926"/>
    <w:rsid w:val="00A016E2"/>
    <w:rsid w:val="00A0183A"/>
    <w:rsid w:val="00A03B96"/>
    <w:rsid w:val="00A049D6"/>
    <w:rsid w:val="00A06238"/>
    <w:rsid w:val="00A104F4"/>
    <w:rsid w:val="00A10BD0"/>
    <w:rsid w:val="00A10DDF"/>
    <w:rsid w:val="00A11E87"/>
    <w:rsid w:val="00A12FB7"/>
    <w:rsid w:val="00A13BCD"/>
    <w:rsid w:val="00A177BE"/>
    <w:rsid w:val="00A22763"/>
    <w:rsid w:val="00A24F28"/>
    <w:rsid w:val="00A258FF"/>
    <w:rsid w:val="00A26B1A"/>
    <w:rsid w:val="00A273E3"/>
    <w:rsid w:val="00A3053C"/>
    <w:rsid w:val="00A317A8"/>
    <w:rsid w:val="00A33DED"/>
    <w:rsid w:val="00A351B2"/>
    <w:rsid w:val="00A36D61"/>
    <w:rsid w:val="00A36EB1"/>
    <w:rsid w:val="00A45EF2"/>
    <w:rsid w:val="00A465E0"/>
    <w:rsid w:val="00A52C23"/>
    <w:rsid w:val="00A54335"/>
    <w:rsid w:val="00A5500D"/>
    <w:rsid w:val="00A56B76"/>
    <w:rsid w:val="00A6039C"/>
    <w:rsid w:val="00A60B8A"/>
    <w:rsid w:val="00A60E04"/>
    <w:rsid w:val="00A63D91"/>
    <w:rsid w:val="00A65D6B"/>
    <w:rsid w:val="00A6642E"/>
    <w:rsid w:val="00A6682B"/>
    <w:rsid w:val="00A66FC0"/>
    <w:rsid w:val="00A6739F"/>
    <w:rsid w:val="00A67A4B"/>
    <w:rsid w:val="00A7068C"/>
    <w:rsid w:val="00A70DAA"/>
    <w:rsid w:val="00A717A0"/>
    <w:rsid w:val="00A723F2"/>
    <w:rsid w:val="00A75544"/>
    <w:rsid w:val="00A757DB"/>
    <w:rsid w:val="00A77CD6"/>
    <w:rsid w:val="00A77ED9"/>
    <w:rsid w:val="00A8006B"/>
    <w:rsid w:val="00A807B4"/>
    <w:rsid w:val="00A8183D"/>
    <w:rsid w:val="00A8448B"/>
    <w:rsid w:val="00A84F01"/>
    <w:rsid w:val="00A86297"/>
    <w:rsid w:val="00A87B24"/>
    <w:rsid w:val="00A91127"/>
    <w:rsid w:val="00A92141"/>
    <w:rsid w:val="00A96CEF"/>
    <w:rsid w:val="00A97097"/>
    <w:rsid w:val="00A97B11"/>
    <w:rsid w:val="00AA1E7F"/>
    <w:rsid w:val="00AA2098"/>
    <w:rsid w:val="00AA2607"/>
    <w:rsid w:val="00AA5106"/>
    <w:rsid w:val="00AB2FDA"/>
    <w:rsid w:val="00AB42A6"/>
    <w:rsid w:val="00AB5BD6"/>
    <w:rsid w:val="00AB6B1B"/>
    <w:rsid w:val="00AB755D"/>
    <w:rsid w:val="00AC1C57"/>
    <w:rsid w:val="00AC4621"/>
    <w:rsid w:val="00AC58A5"/>
    <w:rsid w:val="00AC5958"/>
    <w:rsid w:val="00AC660C"/>
    <w:rsid w:val="00AC6E8E"/>
    <w:rsid w:val="00AC7DD6"/>
    <w:rsid w:val="00AD111F"/>
    <w:rsid w:val="00AD5027"/>
    <w:rsid w:val="00AD6264"/>
    <w:rsid w:val="00AD75C5"/>
    <w:rsid w:val="00AE09CE"/>
    <w:rsid w:val="00AE10E3"/>
    <w:rsid w:val="00AE1452"/>
    <w:rsid w:val="00AE43C2"/>
    <w:rsid w:val="00AE6978"/>
    <w:rsid w:val="00AE6BEE"/>
    <w:rsid w:val="00AE780A"/>
    <w:rsid w:val="00AF1843"/>
    <w:rsid w:val="00AF7483"/>
    <w:rsid w:val="00AF7898"/>
    <w:rsid w:val="00AF7B33"/>
    <w:rsid w:val="00AF7D55"/>
    <w:rsid w:val="00B00ABB"/>
    <w:rsid w:val="00B0213A"/>
    <w:rsid w:val="00B027B5"/>
    <w:rsid w:val="00B02B83"/>
    <w:rsid w:val="00B04A6F"/>
    <w:rsid w:val="00B10301"/>
    <w:rsid w:val="00B11290"/>
    <w:rsid w:val="00B11784"/>
    <w:rsid w:val="00B12C83"/>
    <w:rsid w:val="00B1444F"/>
    <w:rsid w:val="00B152B7"/>
    <w:rsid w:val="00B15366"/>
    <w:rsid w:val="00B1608E"/>
    <w:rsid w:val="00B164B3"/>
    <w:rsid w:val="00B17D1D"/>
    <w:rsid w:val="00B2031F"/>
    <w:rsid w:val="00B214C4"/>
    <w:rsid w:val="00B236DD"/>
    <w:rsid w:val="00B245C5"/>
    <w:rsid w:val="00B249D5"/>
    <w:rsid w:val="00B25C15"/>
    <w:rsid w:val="00B25CE1"/>
    <w:rsid w:val="00B27AF0"/>
    <w:rsid w:val="00B27CE1"/>
    <w:rsid w:val="00B27D97"/>
    <w:rsid w:val="00B30351"/>
    <w:rsid w:val="00B30E05"/>
    <w:rsid w:val="00B32DDF"/>
    <w:rsid w:val="00B34E6F"/>
    <w:rsid w:val="00B36240"/>
    <w:rsid w:val="00B367D1"/>
    <w:rsid w:val="00B41093"/>
    <w:rsid w:val="00B424CC"/>
    <w:rsid w:val="00B42DE0"/>
    <w:rsid w:val="00B43A4E"/>
    <w:rsid w:val="00B43F04"/>
    <w:rsid w:val="00B47DA8"/>
    <w:rsid w:val="00B5066C"/>
    <w:rsid w:val="00B52799"/>
    <w:rsid w:val="00B52D52"/>
    <w:rsid w:val="00B535F7"/>
    <w:rsid w:val="00B5522A"/>
    <w:rsid w:val="00B60EEB"/>
    <w:rsid w:val="00B62BAD"/>
    <w:rsid w:val="00B648A3"/>
    <w:rsid w:val="00B64FF1"/>
    <w:rsid w:val="00B659AC"/>
    <w:rsid w:val="00B659CB"/>
    <w:rsid w:val="00B65BD0"/>
    <w:rsid w:val="00B7200C"/>
    <w:rsid w:val="00B75A00"/>
    <w:rsid w:val="00B815AF"/>
    <w:rsid w:val="00B8163A"/>
    <w:rsid w:val="00B836A7"/>
    <w:rsid w:val="00B917B4"/>
    <w:rsid w:val="00B9200C"/>
    <w:rsid w:val="00B92AA0"/>
    <w:rsid w:val="00B93D63"/>
    <w:rsid w:val="00B96E81"/>
    <w:rsid w:val="00B97B90"/>
    <w:rsid w:val="00BA29E1"/>
    <w:rsid w:val="00BA30F3"/>
    <w:rsid w:val="00BA3DB7"/>
    <w:rsid w:val="00BA5119"/>
    <w:rsid w:val="00BA5621"/>
    <w:rsid w:val="00BA6700"/>
    <w:rsid w:val="00BB0679"/>
    <w:rsid w:val="00BB0AFC"/>
    <w:rsid w:val="00BB41B0"/>
    <w:rsid w:val="00BB46F4"/>
    <w:rsid w:val="00BB5C50"/>
    <w:rsid w:val="00BB6456"/>
    <w:rsid w:val="00BB67F9"/>
    <w:rsid w:val="00BC00BB"/>
    <w:rsid w:val="00BC0A9E"/>
    <w:rsid w:val="00BC2311"/>
    <w:rsid w:val="00BC3E6E"/>
    <w:rsid w:val="00BD0272"/>
    <w:rsid w:val="00BD1F87"/>
    <w:rsid w:val="00BD3730"/>
    <w:rsid w:val="00BD6562"/>
    <w:rsid w:val="00BE4651"/>
    <w:rsid w:val="00BE47B8"/>
    <w:rsid w:val="00BE4AF2"/>
    <w:rsid w:val="00BE529E"/>
    <w:rsid w:val="00BF0644"/>
    <w:rsid w:val="00BF0FAD"/>
    <w:rsid w:val="00BF1709"/>
    <w:rsid w:val="00BF242C"/>
    <w:rsid w:val="00BF248F"/>
    <w:rsid w:val="00BF2E02"/>
    <w:rsid w:val="00BF2F28"/>
    <w:rsid w:val="00BF4E40"/>
    <w:rsid w:val="00BF547D"/>
    <w:rsid w:val="00BF602B"/>
    <w:rsid w:val="00C01473"/>
    <w:rsid w:val="00C01A2A"/>
    <w:rsid w:val="00C03441"/>
    <w:rsid w:val="00C04F0D"/>
    <w:rsid w:val="00C05589"/>
    <w:rsid w:val="00C0575F"/>
    <w:rsid w:val="00C05FA8"/>
    <w:rsid w:val="00C0790F"/>
    <w:rsid w:val="00C10E20"/>
    <w:rsid w:val="00C12EC0"/>
    <w:rsid w:val="00C131F7"/>
    <w:rsid w:val="00C134F7"/>
    <w:rsid w:val="00C1570D"/>
    <w:rsid w:val="00C20DA7"/>
    <w:rsid w:val="00C22170"/>
    <w:rsid w:val="00C22706"/>
    <w:rsid w:val="00C22C5F"/>
    <w:rsid w:val="00C24EC7"/>
    <w:rsid w:val="00C26297"/>
    <w:rsid w:val="00C2776D"/>
    <w:rsid w:val="00C302C7"/>
    <w:rsid w:val="00C30B1A"/>
    <w:rsid w:val="00C337D9"/>
    <w:rsid w:val="00C33F11"/>
    <w:rsid w:val="00C3600A"/>
    <w:rsid w:val="00C37761"/>
    <w:rsid w:val="00C37BA6"/>
    <w:rsid w:val="00C41021"/>
    <w:rsid w:val="00C4119A"/>
    <w:rsid w:val="00C41D62"/>
    <w:rsid w:val="00C44A55"/>
    <w:rsid w:val="00C44C3D"/>
    <w:rsid w:val="00C47DA3"/>
    <w:rsid w:val="00C50E6A"/>
    <w:rsid w:val="00C52B8B"/>
    <w:rsid w:val="00C556A2"/>
    <w:rsid w:val="00C55E22"/>
    <w:rsid w:val="00C60C80"/>
    <w:rsid w:val="00C61EBA"/>
    <w:rsid w:val="00C620A2"/>
    <w:rsid w:val="00C66ABD"/>
    <w:rsid w:val="00C676C6"/>
    <w:rsid w:val="00C72272"/>
    <w:rsid w:val="00C724B0"/>
    <w:rsid w:val="00C727F8"/>
    <w:rsid w:val="00C72CD0"/>
    <w:rsid w:val="00C72DCF"/>
    <w:rsid w:val="00C72FCC"/>
    <w:rsid w:val="00C759BB"/>
    <w:rsid w:val="00C77164"/>
    <w:rsid w:val="00C77837"/>
    <w:rsid w:val="00C8243C"/>
    <w:rsid w:val="00C82765"/>
    <w:rsid w:val="00C82BBD"/>
    <w:rsid w:val="00C82E7A"/>
    <w:rsid w:val="00C831D1"/>
    <w:rsid w:val="00C83F27"/>
    <w:rsid w:val="00C85793"/>
    <w:rsid w:val="00C86006"/>
    <w:rsid w:val="00C87CB4"/>
    <w:rsid w:val="00C87E2C"/>
    <w:rsid w:val="00C90BCD"/>
    <w:rsid w:val="00C9362E"/>
    <w:rsid w:val="00C951B2"/>
    <w:rsid w:val="00C96785"/>
    <w:rsid w:val="00C97693"/>
    <w:rsid w:val="00CA22A1"/>
    <w:rsid w:val="00CA3225"/>
    <w:rsid w:val="00CA3C0F"/>
    <w:rsid w:val="00CA4211"/>
    <w:rsid w:val="00CA75A2"/>
    <w:rsid w:val="00CA776F"/>
    <w:rsid w:val="00CB0594"/>
    <w:rsid w:val="00CB22E2"/>
    <w:rsid w:val="00CB49B8"/>
    <w:rsid w:val="00CD0996"/>
    <w:rsid w:val="00CE1182"/>
    <w:rsid w:val="00CE1B3D"/>
    <w:rsid w:val="00CE3505"/>
    <w:rsid w:val="00CE3C9E"/>
    <w:rsid w:val="00CE5833"/>
    <w:rsid w:val="00CE7E1A"/>
    <w:rsid w:val="00CF0C0A"/>
    <w:rsid w:val="00CF3D1B"/>
    <w:rsid w:val="00CF473E"/>
    <w:rsid w:val="00CF62E7"/>
    <w:rsid w:val="00D01CAA"/>
    <w:rsid w:val="00D01EDD"/>
    <w:rsid w:val="00D029FC"/>
    <w:rsid w:val="00D04EEB"/>
    <w:rsid w:val="00D0622D"/>
    <w:rsid w:val="00D06B5B"/>
    <w:rsid w:val="00D06DF3"/>
    <w:rsid w:val="00D07395"/>
    <w:rsid w:val="00D07881"/>
    <w:rsid w:val="00D179D7"/>
    <w:rsid w:val="00D20234"/>
    <w:rsid w:val="00D20B23"/>
    <w:rsid w:val="00D21FA8"/>
    <w:rsid w:val="00D26503"/>
    <w:rsid w:val="00D33DEA"/>
    <w:rsid w:val="00D3435B"/>
    <w:rsid w:val="00D3569C"/>
    <w:rsid w:val="00D35856"/>
    <w:rsid w:val="00D426F0"/>
    <w:rsid w:val="00D42702"/>
    <w:rsid w:val="00D43F18"/>
    <w:rsid w:val="00D45AE5"/>
    <w:rsid w:val="00D46FCB"/>
    <w:rsid w:val="00D505CC"/>
    <w:rsid w:val="00D50B17"/>
    <w:rsid w:val="00D50D04"/>
    <w:rsid w:val="00D55198"/>
    <w:rsid w:val="00D556F9"/>
    <w:rsid w:val="00D5573E"/>
    <w:rsid w:val="00D55AFF"/>
    <w:rsid w:val="00D60846"/>
    <w:rsid w:val="00D61CB0"/>
    <w:rsid w:val="00D61F6A"/>
    <w:rsid w:val="00D62DC9"/>
    <w:rsid w:val="00D630A9"/>
    <w:rsid w:val="00D64D39"/>
    <w:rsid w:val="00D713BF"/>
    <w:rsid w:val="00D7271D"/>
    <w:rsid w:val="00D72D84"/>
    <w:rsid w:val="00D72DBA"/>
    <w:rsid w:val="00D76DC8"/>
    <w:rsid w:val="00D80AEB"/>
    <w:rsid w:val="00D8141E"/>
    <w:rsid w:val="00D84011"/>
    <w:rsid w:val="00D86109"/>
    <w:rsid w:val="00D87EC2"/>
    <w:rsid w:val="00D922F3"/>
    <w:rsid w:val="00D925B7"/>
    <w:rsid w:val="00D94AED"/>
    <w:rsid w:val="00D95CD0"/>
    <w:rsid w:val="00D9601D"/>
    <w:rsid w:val="00D96D98"/>
    <w:rsid w:val="00D977D3"/>
    <w:rsid w:val="00DA1A10"/>
    <w:rsid w:val="00DA2680"/>
    <w:rsid w:val="00DA26EC"/>
    <w:rsid w:val="00DA413C"/>
    <w:rsid w:val="00DA5F7C"/>
    <w:rsid w:val="00DA6B6A"/>
    <w:rsid w:val="00DA71C1"/>
    <w:rsid w:val="00DA7757"/>
    <w:rsid w:val="00DB13FD"/>
    <w:rsid w:val="00DB446D"/>
    <w:rsid w:val="00DB5AB4"/>
    <w:rsid w:val="00DB5DE4"/>
    <w:rsid w:val="00DB658C"/>
    <w:rsid w:val="00DB74D8"/>
    <w:rsid w:val="00DC1A09"/>
    <w:rsid w:val="00DC3DB6"/>
    <w:rsid w:val="00DC455C"/>
    <w:rsid w:val="00DC57EA"/>
    <w:rsid w:val="00DC6004"/>
    <w:rsid w:val="00DC6E13"/>
    <w:rsid w:val="00DC778B"/>
    <w:rsid w:val="00DD0F56"/>
    <w:rsid w:val="00DD1131"/>
    <w:rsid w:val="00DD1DE0"/>
    <w:rsid w:val="00DD2B0C"/>
    <w:rsid w:val="00DD5364"/>
    <w:rsid w:val="00DD65A3"/>
    <w:rsid w:val="00DD6C3B"/>
    <w:rsid w:val="00DD7FEE"/>
    <w:rsid w:val="00DE35E5"/>
    <w:rsid w:val="00DE43A1"/>
    <w:rsid w:val="00DE63AA"/>
    <w:rsid w:val="00DE67FD"/>
    <w:rsid w:val="00DF018F"/>
    <w:rsid w:val="00DF43FB"/>
    <w:rsid w:val="00DF469F"/>
    <w:rsid w:val="00DF5B66"/>
    <w:rsid w:val="00DF7589"/>
    <w:rsid w:val="00DF7904"/>
    <w:rsid w:val="00E02BA0"/>
    <w:rsid w:val="00E038F1"/>
    <w:rsid w:val="00E03E11"/>
    <w:rsid w:val="00E0431C"/>
    <w:rsid w:val="00E045F8"/>
    <w:rsid w:val="00E04A6E"/>
    <w:rsid w:val="00E05C0D"/>
    <w:rsid w:val="00E068EC"/>
    <w:rsid w:val="00E06A0D"/>
    <w:rsid w:val="00E06B0B"/>
    <w:rsid w:val="00E074F1"/>
    <w:rsid w:val="00E07951"/>
    <w:rsid w:val="00E11B38"/>
    <w:rsid w:val="00E13C23"/>
    <w:rsid w:val="00E140DB"/>
    <w:rsid w:val="00E2002D"/>
    <w:rsid w:val="00E20B7A"/>
    <w:rsid w:val="00E22FFF"/>
    <w:rsid w:val="00E24ABA"/>
    <w:rsid w:val="00E25639"/>
    <w:rsid w:val="00E267F9"/>
    <w:rsid w:val="00E300C4"/>
    <w:rsid w:val="00E31465"/>
    <w:rsid w:val="00E32D01"/>
    <w:rsid w:val="00E330A2"/>
    <w:rsid w:val="00E33185"/>
    <w:rsid w:val="00E33234"/>
    <w:rsid w:val="00E3446A"/>
    <w:rsid w:val="00E3489C"/>
    <w:rsid w:val="00E34F1B"/>
    <w:rsid w:val="00E36337"/>
    <w:rsid w:val="00E36CA5"/>
    <w:rsid w:val="00E40A2C"/>
    <w:rsid w:val="00E41C47"/>
    <w:rsid w:val="00E43D06"/>
    <w:rsid w:val="00E444A0"/>
    <w:rsid w:val="00E44899"/>
    <w:rsid w:val="00E450A9"/>
    <w:rsid w:val="00E503CD"/>
    <w:rsid w:val="00E532EB"/>
    <w:rsid w:val="00E576DB"/>
    <w:rsid w:val="00E60425"/>
    <w:rsid w:val="00E608C5"/>
    <w:rsid w:val="00E60D25"/>
    <w:rsid w:val="00E62141"/>
    <w:rsid w:val="00E64FBD"/>
    <w:rsid w:val="00E661F6"/>
    <w:rsid w:val="00E67273"/>
    <w:rsid w:val="00E67302"/>
    <w:rsid w:val="00E747AB"/>
    <w:rsid w:val="00E77608"/>
    <w:rsid w:val="00E81F8D"/>
    <w:rsid w:val="00E8315E"/>
    <w:rsid w:val="00E85063"/>
    <w:rsid w:val="00E86518"/>
    <w:rsid w:val="00E86718"/>
    <w:rsid w:val="00E91981"/>
    <w:rsid w:val="00E9489F"/>
    <w:rsid w:val="00E95833"/>
    <w:rsid w:val="00E966B6"/>
    <w:rsid w:val="00E967DE"/>
    <w:rsid w:val="00E96BB8"/>
    <w:rsid w:val="00EA0459"/>
    <w:rsid w:val="00EA2B74"/>
    <w:rsid w:val="00EA45CA"/>
    <w:rsid w:val="00EA4F5A"/>
    <w:rsid w:val="00EB4C18"/>
    <w:rsid w:val="00EC0F94"/>
    <w:rsid w:val="00EC33C6"/>
    <w:rsid w:val="00EC51FF"/>
    <w:rsid w:val="00EC5FFB"/>
    <w:rsid w:val="00EC71FB"/>
    <w:rsid w:val="00EC7561"/>
    <w:rsid w:val="00ED03FB"/>
    <w:rsid w:val="00ED3C63"/>
    <w:rsid w:val="00ED648B"/>
    <w:rsid w:val="00ED70FC"/>
    <w:rsid w:val="00ED72C2"/>
    <w:rsid w:val="00EE0139"/>
    <w:rsid w:val="00EE01E6"/>
    <w:rsid w:val="00EE2649"/>
    <w:rsid w:val="00EE2846"/>
    <w:rsid w:val="00EE28CE"/>
    <w:rsid w:val="00EE3D9E"/>
    <w:rsid w:val="00EE45B1"/>
    <w:rsid w:val="00EE5F9B"/>
    <w:rsid w:val="00EE637C"/>
    <w:rsid w:val="00EF1AB9"/>
    <w:rsid w:val="00EF1FFB"/>
    <w:rsid w:val="00EF279D"/>
    <w:rsid w:val="00EF32DF"/>
    <w:rsid w:val="00EF3C5D"/>
    <w:rsid w:val="00EF77C6"/>
    <w:rsid w:val="00F00F4B"/>
    <w:rsid w:val="00F019F2"/>
    <w:rsid w:val="00F04962"/>
    <w:rsid w:val="00F05B3A"/>
    <w:rsid w:val="00F07A9C"/>
    <w:rsid w:val="00F13D65"/>
    <w:rsid w:val="00F13F27"/>
    <w:rsid w:val="00F1418F"/>
    <w:rsid w:val="00F14642"/>
    <w:rsid w:val="00F14977"/>
    <w:rsid w:val="00F14BB7"/>
    <w:rsid w:val="00F15383"/>
    <w:rsid w:val="00F216F6"/>
    <w:rsid w:val="00F218D6"/>
    <w:rsid w:val="00F243D3"/>
    <w:rsid w:val="00F2538D"/>
    <w:rsid w:val="00F25BA4"/>
    <w:rsid w:val="00F31A39"/>
    <w:rsid w:val="00F3535F"/>
    <w:rsid w:val="00F3643E"/>
    <w:rsid w:val="00F36981"/>
    <w:rsid w:val="00F37064"/>
    <w:rsid w:val="00F407FF"/>
    <w:rsid w:val="00F40D95"/>
    <w:rsid w:val="00F41F36"/>
    <w:rsid w:val="00F42701"/>
    <w:rsid w:val="00F43137"/>
    <w:rsid w:val="00F50410"/>
    <w:rsid w:val="00F50911"/>
    <w:rsid w:val="00F60B81"/>
    <w:rsid w:val="00F612CE"/>
    <w:rsid w:val="00F6482F"/>
    <w:rsid w:val="00F65959"/>
    <w:rsid w:val="00F67CE3"/>
    <w:rsid w:val="00F71081"/>
    <w:rsid w:val="00F73266"/>
    <w:rsid w:val="00F748B6"/>
    <w:rsid w:val="00F74F34"/>
    <w:rsid w:val="00F76E86"/>
    <w:rsid w:val="00F80423"/>
    <w:rsid w:val="00F81B03"/>
    <w:rsid w:val="00F82246"/>
    <w:rsid w:val="00F82659"/>
    <w:rsid w:val="00F83D47"/>
    <w:rsid w:val="00F84330"/>
    <w:rsid w:val="00F85986"/>
    <w:rsid w:val="00F86085"/>
    <w:rsid w:val="00F8629A"/>
    <w:rsid w:val="00F87F01"/>
    <w:rsid w:val="00F9450C"/>
    <w:rsid w:val="00F95545"/>
    <w:rsid w:val="00F95C4C"/>
    <w:rsid w:val="00FA2247"/>
    <w:rsid w:val="00FA432E"/>
    <w:rsid w:val="00FA44E6"/>
    <w:rsid w:val="00FA5229"/>
    <w:rsid w:val="00FA61E6"/>
    <w:rsid w:val="00FB061B"/>
    <w:rsid w:val="00FB0D70"/>
    <w:rsid w:val="00FB138A"/>
    <w:rsid w:val="00FB15DC"/>
    <w:rsid w:val="00FB3D62"/>
    <w:rsid w:val="00FB6725"/>
    <w:rsid w:val="00FC24C6"/>
    <w:rsid w:val="00FC4FD0"/>
    <w:rsid w:val="00FD1E76"/>
    <w:rsid w:val="00FD287C"/>
    <w:rsid w:val="00FD2F68"/>
    <w:rsid w:val="00FD58E1"/>
    <w:rsid w:val="00FD7026"/>
    <w:rsid w:val="00FD7329"/>
    <w:rsid w:val="00FD7612"/>
    <w:rsid w:val="00FE242D"/>
    <w:rsid w:val="00FE3CE5"/>
    <w:rsid w:val="00FE4879"/>
    <w:rsid w:val="00FE528F"/>
    <w:rsid w:val="00FF10BA"/>
    <w:rsid w:val="00FF12AA"/>
    <w:rsid w:val="00FF1307"/>
    <w:rsid w:val="00FF1862"/>
    <w:rsid w:val="00FF29F8"/>
    <w:rsid w:val="00FF42A4"/>
    <w:rsid w:val="00FF7090"/>
    <w:rsid w:val="00FF74A6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55FD32"/>
  <w14:defaultImageDpi w14:val="96"/>
  <w15:docId w15:val="{EC1EFAB4-34EF-4945-A631-07E5F5E4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510"/>
    <w:pPr>
      <w:autoSpaceDE w:val="0"/>
      <w:autoSpaceDN w:val="0"/>
      <w:adjustRightInd w:val="0"/>
      <w:spacing w:before="200" w:line="298" w:lineRule="auto"/>
    </w:pPr>
    <w:rPr>
      <w:rFonts w:ascii="Arial" w:hAnsi="Arial" w:cs="Arial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Lines/>
      <w:spacing w:before="600" w:line="340" w:lineRule="atLeast"/>
      <w:outlineLvl w:val="1"/>
    </w:pPr>
    <w:rPr>
      <w:color w:val="00329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Lines/>
      <w:spacing w:before="600" w:line="340" w:lineRule="atLeast"/>
      <w:outlineLvl w:val="2"/>
    </w:pPr>
    <w:rPr>
      <w:color w:val="0032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spacing w:before="0" w:after="0" w:line="240" w:lineRule="auto"/>
    </w:pPr>
    <w:rPr>
      <w:color w:val="003299"/>
      <w:sz w:val="17"/>
      <w:szCs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color w:val="000000"/>
      <w:sz w:val="20"/>
      <w:szCs w:val="20"/>
    </w:rPr>
  </w:style>
  <w:style w:type="paragraph" w:customStyle="1" w:styleId="Publicationtype">
    <w:name w:val="Publication type"/>
    <w:uiPriority w:val="99"/>
    <w:pPr>
      <w:autoSpaceDE w:val="0"/>
      <w:autoSpaceDN w:val="0"/>
      <w:adjustRightInd w:val="0"/>
      <w:spacing w:after="240" w:line="480" w:lineRule="atLeast"/>
    </w:pPr>
    <w:rPr>
      <w:rFonts w:ascii="Arial" w:hAnsi="Arial" w:cs="Arial"/>
      <w:b/>
      <w:bCs/>
      <w:color w:val="003299"/>
      <w:sz w:val="40"/>
      <w:szCs w:val="40"/>
    </w:rPr>
  </w:style>
  <w:style w:type="paragraph" w:customStyle="1" w:styleId="Embargosticker">
    <w:name w:val="Embargo sticker"/>
    <w:uiPriority w:val="99"/>
    <w:pPr>
      <w:framePr w:w="3968" w:wrap="auto" w:hAnchor="text" w:xAlign="right" w:yAlign="top"/>
      <w:pBdr>
        <w:top w:val="single" w:sz="4" w:space="10" w:color="FF0000"/>
        <w:left w:val="single" w:sz="4" w:space="0" w:color="FF0000"/>
        <w:bottom w:val="single" w:sz="4" w:space="10" w:color="FF0000"/>
        <w:right w:val="single" w:sz="4" w:space="0" w:color="FF0000"/>
      </w:pBdr>
      <w:autoSpaceDE w:val="0"/>
      <w:autoSpaceDN w:val="0"/>
      <w:adjustRightInd w:val="0"/>
      <w:spacing w:after="0" w:line="340" w:lineRule="atLeast"/>
      <w:jc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Publicationdate">
    <w:name w:val="Publication date"/>
    <w:uiPriority w:val="99"/>
    <w:rsid w:val="000751C4"/>
    <w:pPr>
      <w:autoSpaceDE w:val="0"/>
      <w:autoSpaceDN w:val="0"/>
      <w:adjustRightInd w:val="0"/>
      <w:spacing w:before="240" w:after="360" w:line="100" w:lineRule="atLeast"/>
    </w:pPr>
    <w:rPr>
      <w:rFonts w:ascii="Arial" w:hAnsi="Arial" w:cs="Arial"/>
      <w:b/>
      <w:bCs/>
      <w:color w:val="003299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D50B17"/>
    <w:pPr>
      <w:spacing w:before="280" w:after="250" w:line="480" w:lineRule="atLeast"/>
    </w:pPr>
    <w:rPr>
      <w:b/>
      <w:bCs/>
      <w:color w:val="003299"/>
      <w:sz w:val="3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50B17"/>
    <w:rPr>
      <w:rFonts w:ascii="Arial" w:hAnsi="Arial" w:cs="Arial"/>
      <w:b/>
      <w:bCs/>
      <w:color w:val="003299"/>
      <w:sz w:val="36"/>
      <w:szCs w:val="40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before="250" w:after="250" w:line="400" w:lineRule="atLeast"/>
    </w:pPr>
    <w:rPr>
      <w:b/>
      <w:bCs/>
      <w:i/>
      <w:iCs/>
      <w:color w:val="5C5C5C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DC57EA"/>
    <w:pPr>
      <w:numPr>
        <w:numId w:val="3"/>
      </w:numPr>
      <w:spacing w:before="60" w:after="60"/>
      <w:contextualSpacing/>
      <w:jc w:val="both"/>
    </w:pPr>
    <w:rPr>
      <w:color w:val="auto"/>
      <w:sz w:val="22"/>
      <w:szCs w:val="22"/>
    </w:rPr>
  </w:style>
  <w:style w:type="paragraph" w:customStyle="1" w:styleId="Chartright-Heading">
    <w:name w:val="Chart right - Heading"/>
    <w:uiPriority w:val="99"/>
    <w:pPr>
      <w:keepNext/>
      <w:keepLines/>
      <w:pBdr>
        <w:bottom w:val="single" w:sz="4" w:space="5" w:color="003299"/>
      </w:pBd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3299"/>
      <w:sz w:val="19"/>
      <w:szCs w:val="19"/>
    </w:rPr>
  </w:style>
  <w:style w:type="paragraph" w:customStyle="1" w:styleId="Chartright-Measure">
    <w:name w:val="Chart right - Measure"/>
    <w:uiPriority w:val="99"/>
    <w:pPr>
      <w:keepNext/>
      <w:keepLines/>
      <w:autoSpaceDE w:val="0"/>
      <w:autoSpaceDN w:val="0"/>
      <w:adjustRightInd w:val="0"/>
      <w:spacing w:before="100" w:after="100" w:line="144" w:lineRule="atLeast"/>
    </w:pPr>
    <w:rPr>
      <w:rFonts w:ascii="Arial" w:hAnsi="Arial" w:cs="Arial"/>
      <w:color w:val="003299"/>
      <w:sz w:val="12"/>
      <w:szCs w:val="12"/>
    </w:rPr>
  </w:style>
  <w:style w:type="paragraph" w:customStyle="1" w:styleId="Chartright-Picture">
    <w:name w:val="Chart right - Picture"/>
    <w:uiPriority w:val="99"/>
    <w:pPr>
      <w:keepNext/>
      <w:keepLines/>
      <w:autoSpaceDE w:val="0"/>
      <w:autoSpaceDN w:val="0"/>
      <w:adjustRightInd w:val="0"/>
      <w:spacing w:before="160" w:after="60" w:line="144" w:lineRule="atLeast"/>
    </w:pPr>
    <w:rPr>
      <w:rFonts w:ascii="Arial" w:hAnsi="Arial" w:cs="Arial"/>
      <w:color w:val="000000"/>
      <w:sz w:val="12"/>
      <w:szCs w:val="12"/>
    </w:rPr>
  </w:style>
  <w:style w:type="paragraph" w:customStyle="1" w:styleId="Chartright-SourcesNotes">
    <w:name w:val="Chart right - Sources &amp; Notes"/>
    <w:link w:val="Chartright-SourcesNotesChar"/>
    <w:uiPriority w:val="2"/>
    <w:qFormat/>
    <w:pPr>
      <w:suppressLineNumbers/>
      <w:autoSpaceDE w:val="0"/>
      <w:autoSpaceDN w:val="0"/>
      <w:adjustRightInd w:val="0"/>
      <w:spacing w:after="0" w:line="192" w:lineRule="atLeast"/>
      <w:ind w:right="567"/>
    </w:pPr>
    <w:rPr>
      <w:rFonts w:ascii="Arial" w:hAnsi="Arial" w:cs="Arial"/>
      <w:color w:val="003299"/>
      <w:sz w:val="16"/>
      <w:szCs w:val="16"/>
    </w:rPr>
  </w:style>
  <w:style w:type="paragraph" w:customStyle="1" w:styleId="notesHeading">
    <w:name w:val="notesHeading"/>
    <w:uiPriority w:val="99"/>
    <w:pPr>
      <w:keepLines/>
      <w:autoSpaceDE w:val="0"/>
      <w:autoSpaceDN w:val="0"/>
      <w:adjustRightInd w:val="0"/>
      <w:spacing w:before="600" w:line="340" w:lineRule="atLeast"/>
    </w:pPr>
    <w:rPr>
      <w:rFonts w:ascii="Arial" w:hAnsi="Arial" w:cs="Arial"/>
      <w:b/>
      <w:bCs/>
      <w:color w:val="003299"/>
      <w:sz w:val="20"/>
      <w:szCs w:val="20"/>
    </w:rPr>
  </w:style>
  <w:style w:type="paragraph" w:customStyle="1" w:styleId="notesBullets">
    <w:name w:val="notesBullets"/>
    <w:uiPriority w:val="99"/>
    <w:rsid w:val="003F17FF"/>
    <w:pPr>
      <w:keepLines/>
      <w:numPr>
        <w:numId w:val="4"/>
      </w:numPr>
      <w:autoSpaceDE w:val="0"/>
      <w:autoSpaceDN w:val="0"/>
      <w:adjustRightInd w:val="0"/>
      <w:spacing w:line="340" w:lineRule="atLeast"/>
    </w:pPr>
    <w:rPr>
      <w:rFonts w:ascii="Arial" w:hAnsi="Arial" w:cs="Arial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  <w:rPr>
      <w:color w:val="auto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color w:val="000000"/>
      <w:sz w:val="20"/>
      <w:szCs w:val="20"/>
    </w:rPr>
  </w:style>
  <w:style w:type="paragraph" w:customStyle="1" w:styleId="tablenumber">
    <w:name w:val="table_number"/>
    <w:uiPriority w:val="99"/>
    <w:pPr>
      <w:autoSpaceDE w:val="0"/>
      <w:autoSpaceDN w:val="0"/>
      <w:adjustRightInd w:val="0"/>
      <w:spacing w:before="40" w:after="40" w:line="240" w:lineRule="auto"/>
      <w:jc w:val="right"/>
    </w:pPr>
    <w:rPr>
      <w:rFonts w:ascii="Arial" w:hAnsi="Arial" w:cs="Arial"/>
      <w:sz w:val="14"/>
      <w:szCs w:val="14"/>
    </w:rPr>
  </w:style>
  <w:style w:type="paragraph" w:customStyle="1" w:styleId="tableitalic">
    <w:name w:val="table_italic"/>
    <w:uiPriority w:val="99"/>
    <w:pPr>
      <w:autoSpaceDE w:val="0"/>
      <w:autoSpaceDN w:val="0"/>
      <w:adjustRightInd w:val="0"/>
      <w:spacing w:before="80" w:after="40" w:line="240" w:lineRule="auto"/>
      <w:ind w:left="100" w:right="100"/>
      <w:jc w:val="both"/>
    </w:pPr>
    <w:rPr>
      <w:rFonts w:ascii="Arial" w:hAnsi="Arial" w:cs="Arial"/>
      <w:i/>
      <w:iCs/>
      <w:sz w:val="14"/>
      <w:szCs w:val="14"/>
    </w:rPr>
  </w:style>
  <w:style w:type="character" w:styleId="EndnoteReference">
    <w:name w:val="endnote reference"/>
    <w:basedOn w:val="DefaultParagraphFont"/>
    <w:uiPriority w:val="99"/>
    <w:semiHidden/>
    <w:unhideWhenUsed/>
    <w:rsid w:val="008123DD"/>
    <w:rPr>
      <w:vertAlign w:val="superscript"/>
    </w:rPr>
  </w:style>
  <w:style w:type="character" w:styleId="FootnoteReference">
    <w:name w:val="footnote reference"/>
    <w:basedOn w:val="DefaultParagraphFont"/>
    <w:uiPriority w:val="3"/>
    <w:semiHidden/>
    <w:unhideWhenUsed/>
    <w:qFormat/>
    <w:rsid w:val="008123D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3D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DD"/>
    <w:rPr>
      <w:rFonts w:ascii="Tahoma" w:hAnsi="Tahoma" w:cs="Tahoma"/>
      <w:color w:val="00000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qFormat/>
    <w:rsid w:val="002B1080"/>
    <w:pPr>
      <w:keepLines/>
      <w:suppressAutoHyphens/>
      <w:autoSpaceDE/>
      <w:autoSpaceDN/>
      <w:adjustRightInd/>
      <w:spacing w:before="60" w:after="60" w:line="180" w:lineRule="atLeast"/>
      <w:ind w:left="284" w:hanging="284"/>
    </w:pPr>
    <w:rPr>
      <w:rFonts w:eastAsia="Times New Roman" w:cs="Sendnya"/>
      <w:kern w:val="15"/>
      <w:sz w:val="15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1080"/>
    <w:rPr>
      <w:rFonts w:ascii="Arial" w:eastAsia="Times New Roman" w:hAnsi="Arial" w:cs="Sendnya"/>
      <w:color w:val="000000"/>
      <w:kern w:val="15"/>
      <w:sz w:val="15"/>
      <w:szCs w:val="18"/>
    </w:rPr>
  </w:style>
  <w:style w:type="character" w:styleId="Hyperlink">
    <w:name w:val="Hyperlink"/>
    <w:basedOn w:val="DefaultParagraphFont"/>
    <w:uiPriority w:val="99"/>
    <w:unhideWhenUsed/>
    <w:rsid w:val="00574389"/>
    <w:rPr>
      <w:color w:val="0000FF" w:themeColor="hyperlink"/>
      <w:u w:val="single"/>
    </w:rPr>
  </w:style>
  <w:style w:type="character" w:customStyle="1" w:styleId="Chartright-SourcesNotesChar">
    <w:name w:val="Chart right - Sources &amp; Notes Char"/>
    <w:link w:val="Chartright-SourcesNotes"/>
    <w:uiPriority w:val="2"/>
    <w:locked/>
    <w:rsid w:val="00545726"/>
    <w:rPr>
      <w:rFonts w:ascii="Arial" w:hAnsi="Arial" w:cs="Arial"/>
      <w:color w:val="003299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5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CAE"/>
  </w:style>
  <w:style w:type="character" w:customStyle="1" w:styleId="CommentTextChar">
    <w:name w:val="Comment Text Char"/>
    <w:basedOn w:val="DefaultParagraphFont"/>
    <w:link w:val="CommentText"/>
    <w:uiPriority w:val="99"/>
    <w:rsid w:val="00805CAE"/>
    <w:rPr>
      <w:rFonts w:ascii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CAE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CAE"/>
    <w:rPr>
      <w:rFonts w:ascii="Arial" w:hAnsi="Arial" w:cs="Arial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725DC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A8006B"/>
  </w:style>
  <w:style w:type="character" w:customStyle="1" w:styleId="Style1Char">
    <w:name w:val="Style1 Char"/>
    <w:basedOn w:val="DefaultParagraphFont"/>
    <w:link w:val="Style1"/>
    <w:rsid w:val="00A8006B"/>
    <w:rPr>
      <w:rFonts w:ascii="Arial" w:hAnsi="Arial" w:cs="Arial"/>
      <w:color w:val="000000"/>
      <w:sz w:val="20"/>
      <w:szCs w:val="20"/>
    </w:rPr>
  </w:style>
  <w:style w:type="paragraph" w:customStyle="1" w:styleId="Style2">
    <w:name w:val="Style2"/>
    <w:basedOn w:val="Chartright-Heading"/>
    <w:qFormat/>
    <w:rsid w:val="00E36CA5"/>
    <w:pPr>
      <w:pBdr>
        <w:bottom w:val="none" w:sz="0" w:space="0" w:color="auto"/>
      </w:pBdr>
    </w:pPr>
  </w:style>
  <w:style w:type="paragraph" w:styleId="NoSpacing">
    <w:name w:val="No Spacing"/>
    <w:uiPriority w:val="1"/>
    <w:qFormat/>
    <w:rsid w:val="00E450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38A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7757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7757"/>
    <w:rPr>
      <w:rFonts w:ascii="Arial" w:hAnsi="Arial" w:cs="Arial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415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F79C8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F24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i-provider">
    <w:name w:val="ui-provider"/>
    <w:basedOn w:val="DefaultParagraphFont"/>
    <w:rsid w:val="004C1892"/>
  </w:style>
  <w:style w:type="paragraph" w:styleId="NormalWeb">
    <w:name w:val="Normal (Web)"/>
    <w:basedOn w:val="Normal"/>
    <w:uiPriority w:val="99"/>
    <w:unhideWhenUsed/>
    <w:rsid w:val="00BE529E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7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3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ata.ecb.europa.eu/search-results?searchTerm=PCP.H.U2.W0.W0.CP1.1.2223.NR.PCS_ALL._Z._X._Z.N.PN%20or%20PCP.H.U2.W0.W0.CP1.1.2223.NR.PCS_ALL._Z._X._Z.G1.PN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www.ecb.europa.eu/stats/payment_statistics/payment_services/html/index.en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ata.ecb.europa.eu/data/datasets/PAY/PAY.H.U2.W0.EMP0.1._Z.N.PN_R_TT" TargetMode="External"/><Relationship Id="rId17" Type="http://schemas.openxmlformats.org/officeDocument/2006/relationships/hyperlink" Target="https://data.ecb.europa.eu/data/datasets/PAY/PAY.H.U2.W0.CP0.1._Z.N.EUR_R_PNT" TargetMode="External"/><Relationship Id="rId25" Type="http://schemas.openxmlformats.org/officeDocument/2006/relationships/hyperlink" Target="https://data.ecb.europa.eu/publications/payments-statistics/307543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ata.ecb.europa.eu/data/datasets/PCN/PCN.H.U2.PCS_ALL.1.PN_R_POP" TargetMode="External"/><Relationship Id="rId20" Type="http://schemas.openxmlformats.org/officeDocument/2006/relationships/image" Target="media/image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ecb.europa.eu/data/datasets/PAY/PAY.H.U2.W0.DD.2._Z.N.PN_R_TT" TargetMode="External"/><Relationship Id="rId24" Type="http://schemas.openxmlformats.org/officeDocument/2006/relationships/hyperlink" Target="https://data.ecb.europa.eu/data/datasets/PAY/dashboard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data.ecb.europa.eu/search-results?searchTerm=PCN.H.U2.PCS_ALL.1.PN%20or%20PCN.H.U2.PCS_ALL.1.PCCH" TargetMode="External"/><Relationship Id="rId23" Type="http://schemas.openxmlformats.org/officeDocument/2006/relationships/hyperlink" Target="https://data.ecb.europa.eu/data/data-categories" TargetMode="External"/><Relationship Id="rId28" Type="http://schemas.openxmlformats.org/officeDocument/2006/relationships/hyperlink" Target="https://www.ecb.europa.eu/stats/payment_statistics/payment_services/shared/pdf/manual_payments_statistics_reporting.xlsx" TargetMode="External"/><Relationship Id="rId10" Type="http://schemas.openxmlformats.org/officeDocument/2006/relationships/hyperlink" Target="https://data.ecb.europa.eu/data/datasets/PAY/PAY.H.U2.W0.CT0.1._Z.N.PN_R_TT" TargetMode="External"/><Relationship Id="rId19" Type="http://schemas.openxmlformats.org/officeDocument/2006/relationships/hyperlink" Target="https://data.ecb.europa.eu/search-results?searchTerm=PAY.H.U2.W0.*._Z.N.PN%20OR%20PAY.H.U2.W0.*._Z.N.EUR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ata.ecb.europa.eu/data/datasets/PAY/PAY.H.U2.W0.CP0.1._Z.N.PN_R_TT" TargetMode="External"/><Relationship Id="rId14" Type="http://schemas.openxmlformats.org/officeDocument/2006/relationships/hyperlink" Target="https://data.ecb.europa.eu/search-results?searchTerm=PCP.H.U2.W0.W0.CP1.1.2223.NR.PCS_ALL._Z._X._Z.N.EUR%20or%20PCP.H.U2.W0.W0.CP1.1.2223.NR.PCS_ALL._Z._X._Z.G1.EUR" TargetMode="External"/><Relationship Id="rId22" Type="http://schemas.openxmlformats.org/officeDocument/2006/relationships/hyperlink" Target="https://data.ecb.europa.eu/search-results?searchTerm=%20PST.H.FI.W0.1._T._T.LVPS_FI_1.N.*.Z01%20OR%20PST.H._Z.B0.1.CTDD._T.TRGT2.N.*.Z01%20OR%20PST.H._Z.W0.1._T._T.STEP1.N.*.Z01" TargetMode="External"/><Relationship Id="rId27" Type="http://schemas.openxmlformats.org/officeDocument/2006/relationships/hyperlink" Target="https://data.ecb.europa.eu/methodology/payment-services-large-value-payment-systems-and-retail-payment-systems" TargetMode="External"/><Relationship Id="rId30" Type="http://schemas.openxmlformats.org/officeDocument/2006/relationships/header" Target="header2.xml"/><Relationship Id="rId8" Type="http://schemas.openxmlformats.org/officeDocument/2006/relationships/hyperlink" Target="https://data.ecb.europa.eu/search-results?searchTerm=PAY.H.U2.W0.TOTL1.1._Z.N.EUR%20OR%20PAY.H.U2.W0.TOTL1.1._Z.G1.EU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mailto:media@ecb.europa.e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ata.ecb.europa.eu/search-results?searchTerm=PAY.H.U2.W0.TOTL.1._Z.N.PN%20OR%20%20PAY.H.U2.W0.TOTL.1._Z.N.EUR" TargetMode="External"/><Relationship Id="rId2" Type="http://schemas.openxmlformats.org/officeDocument/2006/relationships/hyperlink" Target="https://www.ecb.europa.eu/paym/integration/retail/html/index.en.html" TargetMode="External"/><Relationship Id="rId1" Type="http://schemas.openxmlformats.org/officeDocument/2006/relationships/hyperlink" Target="https://data.ecb.europa.eu/sites/default/files/2025-01/Payment%20statistics%20%E2%80%93%20methodological%20notes.pdf" TargetMode="External"/><Relationship Id="rId5" Type="http://schemas.openxmlformats.org/officeDocument/2006/relationships/hyperlink" Target="https://www.ecb.europa.eu/paym/pol/activ/systems/html/index.en.html" TargetMode="External"/><Relationship Id="rId4" Type="http://schemas.openxmlformats.org/officeDocument/2006/relationships/hyperlink" Target="https://data.ecb.europa.eu/publications/payments-statistics/3075435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502C-D3AE-47CC-9FF4-61E688CE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1749</Words>
  <Characters>11408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Central Bank</Company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Fuilu, Benjamin;Stefania Strain</dc:creator>
  <cp:keywords/>
  <dc:description/>
  <cp:lastModifiedBy>MARMAROU, Ioanna</cp:lastModifiedBy>
  <cp:revision>2</cp:revision>
  <dcterms:created xsi:type="dcterms:W3CDTF">2025-07-23T08:55:00Z</dcterms:created>
  <dcterms:modified xsi:type="dcterms:W3CDTF">2025-07-23T08:55:00Z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da18b0-dae3-4c1e-8278-86f688a3028c_Enabled">
    <vt:lpwstr>true</vt:lpwstr>
  </property>
  <property fmtid="{D5CDD505-2E9C-101B-9397-08002B2CF9AE}" pid="3" name="MSIP_Label_23da18b0-dae3-4c1e-8278-86f688a3028c_SetDate">
    <vt:lpwstr>2025-07-08T13:37:37Z</vt:lpwstr>
  </property>
  <property fmtid="{D5CDD505-2E9C-101B-9397-08002B2CF9AE}" pid="4" name="MSIP_Label_23da18b0-dae3-4c1e-8278-86f688a3028c_Method">
    <vt:lpwstr>Privileged</vt:lpwstr>
  </property>
  <property fmtid="{D5CDD505-2E9C-101B-9397-08002B2CF9AE}" pid="5" name="MSIP_Label_23da18b0-dae3-4c1e-8278-86f688a3028c_Name">
    <vt:lpwstr>ECB-RESTRICTED</vt:lpwstr>
  </property>
  <property fmtid="{D5CDD505-2E9C-101B-9397-08002B2CF9AE}" pid="6" name="MSIP_Label_23da18b0-dae3-4c1e-8278-86f688a3028c_SiteId">
    <vt:lpwstr>b84ee435-4816-49d2-8d92-e740dbda4064</vt:lpwstr>
  </property>
  <property fmtid="{D5CDD505-2E9C-101B-9397-08002B2CF9AE}" pid="7" name="MSIP_Label_23da18b0-dae3-4c1e-8278-86f688a3028c_ActionId">
    <vt:lpwstr>f20e43a2-7e31-4273-87fe-41a9a7736dfd</vt:lpwstr>
  </property>
  <property fmtid="{D5CDD505-2E9C-101B-9397-08002B2CF9AE}" pid="8" name="MSIP_Label_23da18b0-dae3-4c1e-8278-86f688a3028c_ContentBits">
    <vt:lpwstr>1</vt:lpwstr>
  </property>
  <property fmtid="{D5CDD505-2E9C-101B-9397-08002B2CF9AE}" pid="9" name="MSIP_Label_2e64f240-1db5-4acf-9bde-572066689a31_Enabled">
    <vt:lpwstr>true</vt:lpwstr>
  </property>
  <property fmtid="{D5CDD505-2E9C-101B-9397-08002B2CF9AE}" pid="10" name="MSIP_Label_2e64f240-1db5-4acf-9bde-572066689a31_SetDate">
    <vt:lpwstr>2025-07-23T08:53:58Z</vt:lpwstr>
  </property>
  <property fmtid="{D5CDD505-2E9C-101B-9397-08002B2CF9AE}" pid="11" name="MSIP_Label_2e64f240-1db5-4acf-9bde-572066689a31_Method">
    <vt:lpwstr>Privileged</vt:lpwstr>
  </property>
  <property fmtid="{D5CDD505-2E9C-101B-9397-08002B2CF9AE}" pid="12" name="MSIP_Label_2e64f240-1db5-4acf-9bde-572066689a31_Name">
    <vt:lpwstr>ΧΩΡΙΣ ΧΑΡΑΚΤΗΡΙΣΜΟ ΑΣΦΑΛΕΙΑΣ</vt:lpwstr>
  </property>
  <property fmtid="{D5CDD505-2E9C-101B-9397-08002B2CF9AE}" pid="13" name="MSIP_Label_2e64f240-1db5-4acf-9bde-572066689a31_SiteId">
    <vt:lpwstr>dabae695-3d3b-4e5d-ab49-009605ba5c68</vt:lpwstr>
  </property>
  <property fmtid="{D5CDD505-2E9C-101B-9397-08002B2CF9AE}" pid="14" name="MSIP_Label_2e64f240-1db5-4acf-9bde-572066689a31_ActionId">
    <vt:lpwstr>f8c549b4-0df0-4c53-8a15-3aec7b6683d8</vt:lpwstr>
  </property>
  <property fmtid="{D5CDD505-2E9C-101B-9397-08002B2CF9AE}" pid="15" name="MSIP_Label_2e64f240-1db5-4acf-9bde-572066689a31_ContentBits">
    <vt:lpwstr>0</vt:lpwstr>
  </property>
  <property fmtid="{D5CDD505-2E9C-101B-9397-08002B2CF9AE}" pid="16" name="MSIP_Label_2e64f240-1db5-4acf-9bde-572066689a31_Tag">
    <vt:lpwstr>10, 0, 1, 1</vt:lpwstr>
  </property>
</Properties>
</file>