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6" w:type="dxa"/>
        <w:tblInd w:w="108" w:type="dxa"/>
        <w:tblLook w:val="04A0" w:firstRow="1" w:lastRow="0" w:firstColumn="1" w:lastColumn="0" w:noHBand="0" w:noVBand="1"/>
      </w:tblPr>
      <w:tblGrid>
        <w:gridCol w:w="3369"/>
        <w:gridCol w:w="5917"/>
      </w:tblGrid>
      <w:tr w:rsidR="006F37D0" w:rsidRPr="0068536A" w14:paraId="2FADDA5D" w14:textId="77777777" w:rsidTr="00F26854">
        <w:trPr>
          <w:trHeight w:val="1757"/>
        </w:trPr>
        <w:tc>
          <w:tcPr>
            <w:tcW w:w="3369" w:type="dxa"/>
            <w:tcBorders>
              <w:left w:val="single" w:sz="48" w:space="0" w:color="BC9E6E"/>
            </w:tcBorders>
            <w:shd w:val="clear" w:color="auto" w:fill="auto"/>
            <w:vAlign w:val="center"/>
          </w:tcPr>
          <w:p w14:paraId="4A7DF08E" w14:textId="77777777" w:rsidR="00C711D6" w:rsidRPr="00766A4F" w:rsidRDefault="001F260A" w:rsidP="00B220DD">
            <w:pPr>
              <w:tabs>
                <w:tab w:val="left" w:pos="4680"/>
                <w:tab w:val="left" w:pos="8100"/>
              </w:tabs>
              <w:spacing w:before="60"/>
              <w:ind w:right="142" w:firstLine="142"/>
              <w:rPr>
                <w:i/>
                <w:noProof/>
                <w:szCs w:val="22"/>
                <w:lang w:eastAsia="en-GB"/>
              </w:rPr>
            </w:pPr>
            <w:r>
              <w:rPr>
                <w:i/>
                <w:noProof/>
                <w:szCs w:val="22"/>
                <w:lang w:val="en-US" w:eastAsia="en-US"/>
              </w:rPr>
              <w:drawing>
                <wp:inline distT="0" distB="0" distL="0" distR="0" wp14:anchorId="63DED844" wp14:editId="771B871C">
                  <wp:extent cx="1621155" cy="873125"/>
                  <wp:effectExtent l="0" t="0" r="0" b="0"/>
                  <wp:docPr id="3" name="Picture 1" descr="LOGO TE - small 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E - small 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7" w:type="dxa"/>
            <w:shd w:val="clear" w:color="auto" w:fill="auto"/>
          </w:tcPr>
          <w:p w14:paraId="5C825D1D" w14:textId="77777777" w:rsidR="00375D2B" w:rsidRDefault="00375D2B" w:rsidP="00375D2B">
            <w:pPr>
              <w:pStyle w:val="Heading1"/>
              <w:jc w:val="right"/>
              <w:rPr>
                <w:b/>
                <w:i w:val="0"/>
                <w:noProof/>
                <w:sz w:val="32"/>
                <w:szCs w:val="22"/>
                <w:u w:val="none"/>
                <w:lang w:eastAsia="en-GB"/>
              </w:rPr>
            </w:pPr>
          </w:p>
          <w:p w14:paraId="103B0019" w14:textId="77777777" w:rsidR="00375D2B" w:rsidRPr="006932B9" w:rsidRDefault="00375D2B" w:rsidP="00375D2B">
            <w:pPr>
              <w:pStyle w:val="Heading1"/>
              <w:jc w:val="right"/>
              <w:rPr>
                <w:b/>
                <w:i w:val="0"/>
                <w:noProof/>
                <w:color w:val="00205B"/>
                <w:sz w:val="28"/>
                <w:szCs w:val="22"/>
                <w:u w:val="none"/>
                <w:lang w:eastAsia="en-GB"/>
              </w:rPr>
            </w:pPr>
            <w:r w:rsidRPr="006932B9">
              <w:rPr>
                <w:b/>
                <w:i w:val="0"/>
                <w:noProof/>
                <w:color w:val="00205B"/>
                <w:sz w:val="28"/>
                <w:szCs w:val="22"/>
                <w:u w:val="none"/>
                <w:lang w:eastAsia="en-GB"/>
              </w:rPr>
              <w:t xml:space="preserve">ΔΕΛΤΙΟ ΤΥΠΟΥ </w:t>
            </w:r>
          </w:p>
          <w:p w14:paraId="427F7B66" w14:textId="762CF584" w:rsidR="00C711D6" w:rsidRPr="0068536A" w:rsidRDefault="003668FA" w:rsidP="00F83148">
            <w:pPr>
              <w:pStyle w:val="Heading1"/>
              <w:ind w:firstLine="0"/>
              <w:jc w:val="right"/>
              <w:rPr>
                <w:i w:val="0"/>
                <w:noProof/>
                <w:szCs w:val="22"/>
                <w:u w:val="none"/>
                <w:lang w:val="en-US" w:eastAsia="en-GB"/>
              </w:rPr>
            </w:pPr>
            <w:r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 xml:space="preserve">Αθήνα, </w:t>
            </w:r>
            <w:r w:rsidR="00515300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22 Ιου</w:t>
            </w:r>
            <w:r w:rsidR="00016B2F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λ</w:t>
            </w:r>
            <w:r w:rsidR="00F83148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ίου 2025</w:t>
            </w:r>
          </w:p>
        </w:tc>
      </w:tr>
    </w:tbl>
    <w:p w14:paraId="3B9EE140" w14:textId="77777777" w:rsidR="00C711D6" w:rsidRPr="0068536A" w:rsidRDefault="00C711D6" w:rsidP="00C711D6">
      <w:pPr>
        <w:pStyle w:val="Heading1"/>
        <w:ind w:firstLine="0"/>
        <w:jc w:val="center"/>
        <w:rPr>
          <w:i w:val="0"/>
          <w:noProof/>
          <w:szCs w:val="22"/>
          <w:u w:val="none"/>
          <w:lang w:eastAsia="en-GB"/>
        </w:rPr>
      </w:pPr>
    </w:p>
    <w:p w14:paraId="59342851" w14:textId="77777777" w:rsidR="00FF5D14" w:rsidRPr="0072548A" w:rsidRDefault="00FF5D14" w:rsidP="00FF5D14">
      <w:pPr>
        <w:rPr>
          <w:lang w:val="en-US" w:eastAsia="en-GB"/>
        </w:rPr>
      </w:pPr>
    </w:p>
    <w:p w14:paraId="40FBA3FC" w14:textId="3E113915" w:rsidR="00517B14" w:rsidRDefault="00CF47BD">
      <w:pPr>
        <w:rPr>
          <w:b/>
          <w:color w:val="002060"/>
          <w:sz w:val="32"/>
          <w:szCs w:val="32"/>
          <w:lang w:val="el-GR" w:eastAsia="en-US"/>
        </w:rPr>
      </w:pPr>
      <w:r>
        <w:rPr>
          <w:b/>
          <w:color w:val="002060"/>
          <w:sz w:val="32"/>
          <w:szCs w:val="32"/>
          <w:lang w:val="el-GR" w:eastAsia="en-US"/>
        </w:rPr>
        <w:t xml:space="preserve">Έρευνα Τραπεζικών Χορηγήσεων – </w:t>
      </w:r>
      <w:r w:rsidR="00515300">
        <w:rPr>
          <w:b/>
          <w:color w:val="002060"/>
          <w:sz w:val="32"/>
          <w:szCs w:val="32"/>
          <w:lang w:val="el-GR" w:eastAsia="en-US"/>
        </w:rPr>
        <w:t>β</w:t>
      </w:r>
      <w:r w:rsidR="005E62D0">
        <w:rPr>
          <w:b/>
          <w:color w:val="002060"/>
          <w:sz w:val="32"/>
          <w:szCs w:val="32"/>
          <w:lang w:val="el-GR" w:eastAsia="en-US"/>
        </w:rPr>
        <w:t>΄ τρίμηνο 202</w:t>
      </w:r>
      <w:r w:rsidR="00016B2F">
        <w:rPr>
          <w:b/>
          <w:color w:val="002060"/>
          <w:sz w:val="32"/>
          <w:szCs w:val="32"/>
          <w:lang w:val="el-GR" w:eastAsia="en-US"/>
        </w:rPr>
        <w:t>5</w:t>
      </w:r>
    </w:p>
    <w:p w14:paraId="273D5765" w14:textId="77777777" w:rsidR="002E479E" w:rsidRPr="00755A8E" w:rsidRDefault="002E479E">
      <w:pPr>
        <w:rPr>
          <w:b/>
          <w:color w:val="002060"/>
          <w:sz w:val="32"/>
          <w:szCs w:val="32"/>
          <w:lang w:val="el-GR" w:eastAsia="en-US"/>
        </w:rPr>
      </w:pPr>
    </w:p>
    <w:p w14:paraId="10CEDE5B" w14:textId="77777777" w:rsidR="00517B14" w:rsidRPr="00755A8E" w:rsidRDefault="00517B14">
      <w:pPr>
        <w:rPr>
          <w:b/>
          <w:color w:val="002060"/>
          <w:sz w:val="32"/>
          <w:szCs w:val="32"/>
          <w:lang w:val="el-GR"/>
        </w:rPr>
      </w:pPr>
    </w:p>
    <w:p w14:paraId="6B34FA6F" w14:textId="13A2DB9D" w:rsidR="0068536A" w:rsidRPr="00D41738" w:rsidRDefault="00B47E96" w:rsidP="00F41331">
      <w:pPr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  <w:lang w:val="el-GR"/>
        </w:rPr>
      </w:pPr>
      <w:r w:rsidRPr="00D41738">
        <w:rPr>
          <w:sz w:val="22"/>
          <w:szCs w:val="22"/>
          <w:lang w:val="el-GR"/>
        </w:rPr>
        <w:t>Τα κριτήρια χορήγησης δανείων προς τις μη χρηματοπιστωτικές επιχειρήσεις (ΜΧΕ) παρέμε</w:t>
      </w:r>
      <w:r w:rsidR="003E125D" w:rsidRPr="00D41738">
        <w:rPr>
          <w:sz w:val="22"/>
          <w:szCs w:val="22"/>
          <w:lang w:val="el-GR"/>
        </w:rPr>
        <w:t>ιναν</w:t>
      </w:r>
      <w:r w:rsidR="00E52434" w:rsidRPr="00D41738">
        <w:rPr>
          <w:sz w:val="22"/>
          <w:szCs w:val="22"/>
          <w:lang w:val="el-GR"/>
        </w:rPr>
        <w:t xml:space="preserve"> </w:t>
      </w:r>
      <w:r w:rsidRPr="00D41738">
        <w:rPr>
          <w:sz w:val="22"/>
          <w:szCs w:val="22"/>
          <w:lang w:val="el-GR"/>
        </w:rPr>
        <w:t>αμετάβλητα</w:t>
      </w:r>
      <w:r w:rsidR="00F41331" w:rsidRPr="009E70BA">
        <w:rPr>
          <w:lang w:val="el-GR"/>
        </w:rPr>
        <w:t xml:space="preserve"> </w:t>
      </w:r>
      <w:r w:rsidR="00F41331" w:rsidRPr="00F41331">
        <w:rPr>
          <w:sz w:val="22"/>
          <w:szCs w:val="22"/>
          <w:lang w:val="el-GR"/>
        </w:rPr>
        <w:t>κατά το β΄ τρίμηνο του 2025</w:t>
      </w:r>
      <w:r w:rsidR="00B929A0" w:rsidRPr="00D41738">
        <w:rPr>
          <w:sz w:val="22"/>
          <w:szCs w:val="22"/>
          <w:lang w:val="el-GR"/>
        </w:rPr>
        <w:t>,</w:t>
      </w:r>
      <w:r w:rsidR="00963ACA" w:rsidRPr="00D41738">
        <w:rPr>
          <w:sz w:val="22"/>
          <w:szCs w:val="22"/>
          <w:lang w:val="el-GR"/>
        </w:rPr>
        <w:t xml:space="preserve"> </w:t>
      </w:r>
      <w:r w:rsidR="00016B2F" w:rsidRPr="00D41738">
        <w:rPr>
          <w:sz w:val="22"/>
          <w:szCs w:val="22"/>
          <w:lang w:val="el-GR"/>
        </w:rPr>
        <w:t>ενώ</w:t>
      </w:r>
      <w:r w:rsidR="002B3032" w:rsidRPr="002B3032">
        <w:rPr>
          <w:sz w:val="22"/>
          <w:szCs w:val="22"/>
          <w:lang w:val="el-GR"/>
        </w:rPr>
        <w:t xml:space="preserve"> </w:t>
      </w:r>
      <w:r w:rsidR="002B3032" w:rsidRPr="00D41738">
        <w:rPr>
          <w:sz w:val="22"/>
          <w:szCs w:val="22"/>
          <w:lang w:val="el-GR"/>
        </w:rPr>
        <w:t>οι συνολικοί όροι χορήγησης επιχειρηματικών δανείων</w:t>
      </w:r>
      <w:r w:rsidR="002B3032" w:rsidRPr="009C2C47">
        <w:rPr>
          <w:sz w:val="22"/>
          <w:szCs w:val="22"/>
          <w:lang w:val="el-GR"/>
        </w:rPr>
        <w:t xml:space="preserve"> </w:t>
      </w:r>
      <w:r w:rsidR="002B3032" w:rsidRPr="00F41331">
        <w:rPr>
          <w:sz w:val="22"/>
          <w:szCs w:val="22"/>
          <w:lang w:val="el-GR"/>
        </w:rPr>
        <w:t>έγιναν</w:t>
      </w:r>
      <w:r w:rsidR="00016B2F" w:rsidRPr="00D41738">
        <w:rPr>
          <w:sz w:val="22"/>
          <w:szCs w:val="22"/>
          <w:lang w:val="el-GR"/>
        </w:rPr>
        <w:t xml:space="preserve"> </w:t>
      </w:r>
      <w:r w:rsidR="00F41331" w:rsidRPr="00F41331">
        <w:rPr>
          <w:sz w:val="22"/>
          <w:szCs w:val="22"/>
          <w:lang w:val="el-GR"/>
        </w:rPr>
        <w:t>πιο χαλαροί ως ένα</w:t>
      </w:r>
      <w:r w:rsidR="00AA26AD">
        <w:rPr>
          <w:sz w:val="22"/>
          <w:szCs w:val="22"/>
          <w:lang w:val="el-GR"/>
        </w:rPr>
        <w:t>ν</w:t>
      </w:r>
      <w:r w:rsidR="00F41331" w:rsidRPr="00F41331">
        <w:rPr>
          <w:sz w:val="22"/>
          <w:szCs w:val="22"/>
          <w:lang w:val="el-GR"/>
        </w:rPr>
        <w:t xml:space="preserve"> βαθμό</w:t>
      </w:r>
      <w:r w:rsidR="00F41331">
        <w:rPr>
          <w:sz w:val="22"/>
          <w:szCs w:val="22"/>
          <w:lang w:val="el-GR"/>
        </w:rPr>
        <w:t>.</w:t>
      </w:r>
      <w:r w:rsidR="00566D7D" w:rsidRPr="00D41738">
        <w:rPr>
          <w:sz w:val="22"/>
          <w:szCs w:val="22"/>
          <w:lang w:val="el-GR"/>
        </w:rPr>
        <w:t xml:space="preserve"> </w:t>
      </w:r>
      <w:r w:rsidR="00FD759D" w:rsidRPr="00D41738">
        <w:rPr>
          <w:sz w:val="22"/>
          <w:szCs w:val="22"/>
          <w:lang w:val="el-GR"/>
        </w:rPr>
        <w:t>Η</w:t>
      </w:r>
      <w:r w:rsidR="00421EAD" w:rsidRPr="00D41738">
        <w:rPr>
          <w:sz w:val="22"/>
          <w:szCs w:val="22"/>
          <w:lang w:val="el-GR"/>
        </w:rPr>
        <w:t xml:space="preserve"> </w:t>
      </w:r>
      <w:r w:rsidRPr="00D41738">
        <w:rPr>
          <w:sz w:val="22"/>
          <w:szCs w:val="22"/>
          <w:lang w:val="el-GR"/>
        </w:rPr>
        <w:t xml:space="preserve">συνολική ζήτηση </w:t>
      </w:r>
      <w:r w:rsidR="00B75045" w:rsidRPr="00D41738">
        <w:rPr>
          <w:sz w:val="22"/>
          <w:szCs w:val="22"/>
          <w:lang w:val="el-GR"/>
        </w:rPr>
        <w:t>για επιχειρηματικά δάνεια</w:t>
      </w:r>
      <w:r w:rsidR="00FD7781" w:rsidRPr="00D41738">
        <w:rPr>
          <w:sz w:val="22"/>
          <w:szCs w:val="22"/>
          <w:lang w:val="el-GR"/>
        </w:rPr>
        <w:t xml:space="preserve"> </w:t>
      </w:r>
      <w:r w:rsidR="008F35EE" w:rsidRPr="00D41738">
        <w:rPr>
          <w:sz w:val="22"/>
          <w:szCs w:val="22"/>
          <w:lang w:val="el-GR"/>
        </w:rPr>
        <w:t>αυξήθηκε</w:t>
      </w:r>
      <w:r w:rsidR="00F41331">
        <w:rPr>
          <w:sz w:val="22"/>
          <w:szCs w:val="22"/>
          <w:lang w:val="el-GR"/>
        </w:rPr>
        <w:t xml:space="preserve"> </w:t>
      </w:r>
      <w:r w:rsidR="004A6888">
        <w:rPr>
          <w:sz w:val="22"/>
          <w:szCs w:val="22"/>
          <w:lang w:val="el-GR"/>
        </w:rPr>
        <w:t>ως</w:t>
      </w:r>
      <w:r w:rsidR="00F41331">
        <w:rPr>
          <w:sz w:val="22"/>
          <w:szCs w:val="22"/>
          <w:lang w:val="el-GR"/>
        </w:rPr>
        <w:t xml:space="preserve"> ένα</w:t>
      </w:r>
      <w:r w:rsidR="00AA26AD">
        <w:rPr>
          <w:sz w:val="22"/>
          <w:szCs w:val="22"/>
          <w:lang w:val="el-GR"/>
        </w:rPr>
        <w:t>ν</w:t>
      </w:r>
      <w:r w:rsidR="00F41331">
        <w:rPr>
          <w:sz w:val="22"/>
          <w:szCs w:val="22"/>
          <w:lang w:val="el-GR"/>
        </w:rPr>
        <w:t xml:space="preserve"> βαθμό</w:t>
      </w:r>
      <w:r w:rsidRPr="00D41738">
        <w:rPr>
          <w:sz w:val="22"/>
          <w:szCs w:val="22"/>
          <w:lang w:val="el-GR"/>
        </w:rPr>
        <w:t>.</w:t>
      </w:r>
    </w:p>
    <w:p w14:paraId="2E5C31E7" w14:textId="70DFAA16" w:rsidR="00271234" w:rsidRPr="00271234" w:rsidRDefault="00271234" w:rsidP="00271234">
      <w:pPr>
        <w:numPr>
          <w:ilvl w:val="0"/>
          <w:numId w:val="4"/>
        </w:numPr>
        <w:spacing w:line="360" w:lineRule="auto"/>
        <w:ind w:left="426"/>
        <w:jc w:val="both"/>
        <w:rPr>
          <w:sz w:val="22"/>
          <w:szCs w:val="22"/>
          <w:lang w:val="el-GR"/>
        </w:rPr>
      </w:pPr>
      <w:r w:rsidRPr="00271234">
        <w:rPr>
          <w:sz w:val="22"/>
          <w:szCs w:val="22"/>
          <w:lang w:val="el-GR"/>
        </w:rPr>
        <w:t>Τα κριτήρια χορήγησης δανείων προς νοικοκυριά παρέμειναν αμετάβλητα</w:t>
      </w:r>
      <w:r w:rsidR="002B3F31">
        <w:rPr>
          <w:sz w:val="22"/>
          <w:szCs w:val="22"/>
          <w:lang w:val="el-GR"/>
        </w:rPr>
        <w:t xml:space="preserve"> </w:t>
      </w:r>
      <w:r w:rsidR="004B6078">
        <w:rPr>
          <w:sz w:val="22"/>
          <w:szCs w:val="22"/>
          <w:lang w:val="el-GR"/>
        </w:rPr>
        <w:t xml:space="preserve">για </w:t>
      </w:r>
      <w:r w:rsidR="00B123B7">
        <w:rPr>
          <w:sz w:val="22"/>
          <w:szCs w:val="22"/>
          <w:lang w:val="el-GR"/>
        </w:rPr>
        <w:t>τα στεγαστικά και τα καταναλωτικά</w:t>
      </w:r>
      <w:r w:rsidR="00F73B86" w:rsidRPr="00897233">
        <w:rPr>
          <w:sz w:val="22"/>
          <w:szCs w:val="22"/>
          <w:lang w:val="el-GR"/>
        </w:rPr>
        <w:t xml:space="preserve"> </w:t>
      </w:r>
      <w:r w:rsidR="00F73B86">
        <w:rPr>
          <w:sz w:val="22"/>
          <w:szCs w:val="22"/>
          <w:lang w:val="el-GR"/>
        </w:rPr>
        <w:t>δάνεια</w:t>
      </w:r>
      <w:r w:rsidR="00C72E09">
        <w:rPr>
          <w:sz w:val="22"/>
          <w:szCs w:val="22"/>
          <w:lang w:val="el-GR"/>
        </w:rPr>
        <w:t xml:space="preserve"> </w:t>
      </w:r>
      <w:r w:rsidR="004B6078">
        <w:rPr>
          <w:sz w:val="22"/>
          <w:szCs w:val="22"/>
          <w:lang w:val="el-GR"/>
        </w:rPr>
        <w:t>κατά</w:t>
      </w:r>
      <w:r w:rsidR="00C72E09">
        <w:rPr>
          <w:sz w:val="22"/>
          <w:szCs w:val="22"/>
          <w:lang w:val="el-GR"/>
        </w:rPr>
        <w:t xml:space="preserve"> το β</w:t>
      </w:r>
      <w:r w:rsidR="00B929A0">
        <w:rPr>
          <w:sz w:val="22"/>
          <w:szCs w:val="22"/>
          <w:lang w:val="el-GR"/>
        </w:rPr>
        <w:t>΄ τρίμηνο του 2025</w:t>
      </w:r>
      <w:r w:rsidR="00B123B7">
        <w:rPr>
          <w:sz w:val="22"/>
          <w:szCs w:val="22"/>
          <w:lang w:val="el-GR"/>
        </w:rPr>
        <w:t>.</w:t>
      </w:r>
      <w:r w:rsidRPr="00271234">
        <w:rPr>
          <w:sz w:val="22"/>
          <w:szCs w:val="22"/>
          <w:lang w:val="el-GR"/>
        </w:rPr>
        <w:t xml:space="preserve"> </w:t>
      </w:r>
      <w:r w:rsidR="00B123B7">
        <w:rPr>
          <w:sz w:val="22"/>
          <w:szCs w:val="22"/>
          <w:lang w:val="el-GR"/>
        </w:rPr>
        <w:t>Οι</w:t>
      </w:r>
      <w:r w:rsidRPr="00271234">
        <w:rPr>
          <w:sz w:val="22"/>
          <w:szCs w:val="22"/>
          <w:lang w:val="el-GR"/>
        </w:rPr>
        <w:t xml:space="preserve"> συνολικοί όροι χορήγησης δανείων </w:t>
      </w:r>
      <w:r w:rsidR="00B123B7">
        <w:rPr>
          <w:sz w:val="22"/>
          <w:szCs w:val="22"/>
          <w:lang w:val="el-GR"/>
        </w:rPr>
        <w:t xml:space="preserve">έγιναν πιο </w:t>
      </w:r>
      <w:r w:rsidR="002B3F31">
        <w:rPr>
          <w:sz w:val="22"/>
          <w:szCs w:val="22"/>
          <w:lang w:val="el-GR"/>
        </w:rPr>
        <w:t>χαλαροί</w:t>
      </w:r>
      <w:r w:rsidR="00525D3E" w:rsidRPr="00271234">
        <w:rPr>
          <w:sz w:val="22"/>
          <w:szCs w:val="22"/>
          <w:lang w:val="el-GR"/>
        </w:rPr>
        <w:t xml:space="preserve"> </w:t>
      </w:r>
      <w:r w:rsidR="005308FB">
        <w:rPr>
          <w:sz w:val="22"/>
          <w:szCs w:val="22"/>
          <w:lang w:val="el-GR"/>
        </w:rPr>
        <w:t xml:space="preserve">ως έναν βαθμό </w:t>
      </w:r>
      <w:r w:rsidRPr="00271234">
        <w:rPr>
          <w:sz w:val="22"/>
          <w:szCs w:val="22"/>
          <w:lang w:val="el-GR"/>
        </w:rPr>
        <w:t xml:space="preserve">για τα </w:t>
      </w:r>
      <w:r w:rsidR="00B123B7">
        <w:rPr>
          <w:sz w:val="22"/>
          <w:szCs w:val="22"/>
          <w:lang w:val="el-GR"/>
        </w:rPr>
        <w:t>στεγαστικά</w:t>
      </w:r>
      <w:r w:rsidRPr="00271234">
        <w:rPr>
          <w:sz w:val="22"/>
          <w:szCs w:val="22"/>
          <w:lang w:val="el-GR"/>
        </w:rPr>
        <w:t xml:space="preserve"> δάνεια</w:t>
      </w:r>
      <w:r w:rsidR="00B929A0" w:rsidRPr="00B929A0">
        <w:rPr>
          <w:sz w:val="22"/>
          <w:szCs w:val="22"/>
          <w:lang w:val="el-GR"/>
        </w:rPr>
        <w:t>,</w:t>
      </w:r>
      <w:r w:rsidRPr="00271234">
        <w:rPr>
          <w:sz w:val="22"/>
          <w:szCs w:val="22"/>
          <w:lang w:val="el-GR"/>
        </w:rPr>
        <w:t xml:space="preserve"> </w:t>
      </w:r>
      <w:r w:rsidR="00B123B7">
        <w:rPr>
          <w:sz w:val="22"/>
          <w:szCs w:val="22"/>
          <w:lang w:val="el-GR"/>
        </w:rPr>
        <w:t>ενώ</w:t>
      </w:r>
      <w:r w:rsidRPr="00271234">
        <w:rPr>
          <w:sz w:val="22"/>
          <w:szCs w:val="22"/>
          <w:lang w:val="el-GR"/>
        </w:rPr>
        <w:t xml:space="preserve"> </w:t>
      </w:r>
      <w:r w:rsidR="00B123B7">
        <w:rPr>
          <w:sz w:val="22"/>
          <w:szCs w:val="22"/>
          <w:lang w:val="el-GR"/>
        </w:rPr>
        <w:t xml:space="preserve">παρέμειναν </w:t>
      </w:r>
      <w:r w:rsidR="00525D3E" w:rsidRPr="00271234">
        <w:rPr>
          <w:sz w:val="22"/>
          <w:szCs w:val="22"/>
          <w:lang w:val="el-GR"/>
        </w:rPr>
        <w:t>αμετάβλητ</w:t>
      </w:r>
      <w:r w:rsidR="00525D3E">
        <w:rPr>
          <w:sz w:val="22"/>
          <w:szCs w:val="22"/>
          <w:lang w:val="el-GR"/>
        </w:rPr>
        <w:t>οι</w:t>
      </w:r>
      <w:r w:rsidR="00525D3E" w:rsidRPr="00271234">
        <w:rPr>
          <w:sz w:val="22"/>
          <w:szCs w:val="22"/>
          <w:lang w:val="el-GR"/>
        </w:rPr>
        <w:t xml:space="preserve"> </w:t>
      </w:r>
      <w:r w:rsidRPr="00271234">
        <w:rPr>
          <w:sz w:val="22"/>
          <w:szCs w:val="22"/>
          <w:lang w:val="el-GR"/>
        </w:rPr>
        <w:t xml:space="preserve">για τα </w:t>
      </w:r>
      <w:r w:rsidR="00B123B7">
        <w:rPr>
          <w:sz w:val="22"/>
          <w:szCs w:val="22"/>
          <w:lang w:val="el-GR"/>
        </w:rPr>
        <w:t>καταναλωτικά</w:t>
      </w:r>
      <w:r w:rsidRPr="00271234">
        <w:rPr>
          <w:sz w:val="22"/>
          <w:szCs w:val="22"/>
          <w:lang w:val="el-GR"/>
        </w:rPr>
        <w:t xml:space="preserve"> δάνεια κατά το </w:t>
      </w:r>
      <w:r w:rsidR="002B3F31">
        <w:rPr>
          <w:sz w:val="22"/>
          <w:szCs w:val="22"/>
          <w:lang w:val="el-GR"/>
        </w:rPr>
        <w:t>β</w:t>
      </w:r>
      <w:r w:rsidR="00B123B7">
        <w:rPr>
          <w:sz w:val="22"/>
          <w:szCs w:val="22"/>
          <w:lang w:val="el-GR"/>
        </w:rPr>
        <w:t>΄ τρίμηνο του 2025</w:t>
      </w:r>
      <w:r w:rsidRPr="00271234">
        <w:rPr>
          <w:sz w:val="22"/>
          <w:szCs w:val="22"/>
          <w:lang w:val="el-GR"/>
        </w:rPr>
        <w:t xml:space="preserve">. Η ζήτηση για στεγαστικά </w:t>
      </w:r>
      <w:r w:rsidR="00511DCA">
        <w:rPr>
          <w:sz w:val="22"/>
          <w:szCs w:val="22"/>
          <w:lang w:val="el-GR"/>
        </w:rPr>
        <w:t xml:space="preserve">δάνεια </w:t>
      </w:r>
      <w:r w:rsidR="00876DC9" w:rsidRPr="00876DC9">
        <w:rPr>
          <w:sz w:val="22"/>
          <w:szCs w:val="22"/>
          <w:lang w:val="el-GR"/>
        </w:rPr>
        <w:t>μει</w:t>
      </w:r>
      <w:r w:rsidR="00876DC9">
        <w:rPr>
          <w:sz w:val="22"/>
          <w:szCs w:val="22"/>
          <w:lang w:val="el-GR"/>
        </w:rPr>
        <w:t>ώ</w:t>
      </w:r>
      <w:r w:rsidR="00B123B7">
        <w:rPr>
          <w:sz w:val="22"/>
          <w:szCs w:val="22"/>
          <w:lang w:val="el-GR"/>
        </w:rPr>
        <w:t>θηκε</w:t>
      </w:r>
      <w:r w:rsidRPr="00271234">
        <w:rPr>
          <w:sz w:val="22"/>
          <w:szCs w:val="22"/>
          <w:lang w:val="el-GR"/>
        </w:rPr>
        <w:t xml:space="preserve">, ενώ η ζήτηση για καταναλωτικά δάνεια </w:t>
      </w:r>
      <w:r w:rsidR="00876DC9">
        <w:rPr>
          <w:sz w:val="22"/>
          <w:szCs w:val="22"/>
          <w:lang w:val="el-GR"/>
        </w:rPr>
        <w:t>αυξήθηκε</w:t>
      </w:r>
      <w:r w:rsidRPr="00271234">
        <w:rPr>
          <w:sz w:val="22"/>
          <w:szCs w:val="22"/>
          <w:lang w:val="el-GR"/>
        </w:rPr>
        <w:t>.</w:t>
      </w:r>
    </w:p>
    <w:p w14:paraId="286364A7" w14:textId="074620D5" w:rsidR="0068536A" w:rsidRPr="00A5234C" w:rsidRDefault="0068536A" w:rsidP="00271234">
      <w:pPr>
        <w:spacing w:line="360" w:lineRule="auto"/>
        <w:ind w:left="426"/>
        <w:jc w:val="both"/>
        <w:rPr>
          <w:sz w:val="22"/>
          <w:szCs w:val="22"/>
          <w:lang w:val="el-GR"/>
        </w:rPr>
      </w:pPr>
    </w:p>
    <w:p w14:paraId="08192C58" w14:textId="77777777" w:rsidR="00517B14" w:rsidRPr="002B1EDF" w:rsidRDefault="00517B14" w:rsidP="00517B14">
      <w:pPr>
        <w:spacing w:before="120" w:line="360" w:lineRule="auto"/>
        <w:jc w:val="both"/>
        <w:rPr>
          <w:b/>
          <w:color w:val="002060"/>
          <w:szCs w:val="24"/>
          <w:lang w:val="el-GR"/>
        </w:rPr>
      </w:pPr>
      <w:r w:rsidRPr="002B1EDF">
        <w:rPr>
          <w:b/>
          <w:color w:val="002060"/>
          <w:szCs w:val="24"/>
          <w:lang w:val="el-GR"/>
        </w:rPr>
        <w:t>Δάνεια προς</w:t>
      </w:r>
      <w:r w:rsidR="00AE286C" w:rsidRPr="002B1EDF">
        <w:rPr>
          <w:b/>
          <w:color w:val="002060"/>
          <w:szCs w:val="24"/>
          <w:lang w:val="el-GR"/>
        </w:rPr>
        <w:t xml:space="preserve"> τις</w:t>
      </w:r>
      <w:r w:rsidRPr="002B1EDF">
        <w:rPr>
          <w:b/>
          <w:color w:val="002060"/>
          <w:szCs w:val="24"/>
          <w:lang w:val="el-GR"/>
        </w:rPr>
        <w:t xml:space="preserve"> μη χρηματοπιστωτικές επιχειρήσεις</w:t>
      </w:r>
    </w:p>
    <w:p w14:paraId="48C6DEFF" w14:textId="4D5F571A" w:rsidR="00517B14" w:rsidRPr="00517B14" w:rsidRDefault="00B734D2" w:rsidP="00517B14">
      <w:pPr>
        <w:spacing w:before="120"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Κατά το </w:t>
      </w:r>
      <w:r w:rsidR="00656E9B">
        <w:rPr>
          <w:sz w:val="22"/>
          <w:szCs w:val="22"/>
          <w:lang w:val="el-GR"/>
        </w:rPr>
        <w:t>β</w:t>
      </w:r>
      <w:r w:rsidR="005437B5">
        <w:rPr>
          <w:sz w:val="22"/>
          <w:szCs w:val="22"/>
          <w:lang w:val="el-GR"/>
        </w:rPr>
        <w:t>΄ τρίμηνο του 202</w:t>
      </w:r>
      <w:r w:rsidR="00BA47D1">
        <w:rPr>
          <w:sz w:val="22"/>
          <w:szCs w:val="22"/>
          <w:lang w:val="el-GR"/>
        </w:rPr>
        <w:t>5</w:t>
      </w:r>
      <w:r w:rsidR="00517B14" w:rsidRPr="00517B14">
        <w:rPr>
          <w:sz w:val="22"/>
          <w:szCs w:val="22"/>
          <w:lang w:val="el-GR"/>
        </w:rPr>
        <w:t>, τα κριτήρια χορήγησης δανείων προς τις μη χρηματοπιστωτικές επιχειρήσεις (ΜΧΕ) παρέμε</w:t>
      </w:r>
      <w:r w:rsidR="00A9093E">
        <w:rPr>
          <w:sz w:val="22"/>
          <w:szCs w:val="22"/>
          <w:lang w:val="el-GR"/>
        </w:rPr>
        <w:t xml:space="preserve">ιναν </w:t>
      </w:r>
      <w:r w:rsidR="000A0692">
        <w:rPr>
          <w:sz w:val="22"/>
          <w:szCs w:val="22"/>
          <w:lang w:val="el-GR"/>
        </w:rPr>
        <w:t>αμετάβλητα σε σχέση με το α΄ τρίμηνο του 2025</w:t>
      </w:r>
      <w:r w:rsidR="00517B14" w:rsidRPr="00517B14">
        <w:rPr>
          <w:sz w:val="22"/>
          <w:szCs w:val="22"/>
          <w:lang w:val="el-GR"/>
        </w:rPr>
        <w:t xml:space="preserve"> (βλ. Διάγραμμα 1), εξέλιξη σύμφωνη με τις προσδοκίες που είχαν διατυπωθεί στην έρευνα του προηγούμενου τριμήνου. Επιπλέον, οι τράπεζες εκτιμούν</w:t>
      </w:r>
      <w:r>
        <w:rPr>
          <w:sz w:val="22"/>
          <w:szCs w:val="22"/>
          <w:lang w:val="el-GR"/>
        </w:rPr>
        <w:t xml:space="preserve"> ότι τα κριτήρια θα παραμείνουν</w:t>
      </w:r>
      <w:r w:rsidR="00765C5A">
        <w:rPr>
          <w:sz w:val="22"/>
          <w:szCs w:val="22"/>
          <w:lang w:val="el-GR"/>
        </w:rPr>
        <w:t xml:space="preserve"> </w:t>
      </w:r>
      <w:r w:rsidR="00517B14" w:rsidRPr="00517B14">
        <w:rPr>
          <w:sz w:val="22"/>
          <w:szCs w:val="22"/>
          <w:lang w:val="el-GR"/>
        </w:rPr>
        <w:t>αμετά</w:t>
      </w:r>
      <w:r w:rsidR="00A9093E">
        <w:rPr>
          <w:sz w:val="22"/>
          <w:szCs w:val="22"/>
          <w:lang w:val="el-GR"/>
        </w:rPr>
        <w:t xml:space="preserve">βλητα </w:t>
      </w:r>
      <w:r w:rsidR="00BE367A">
        <w:rPr>
          <w:sz w:val="22"/>
          <w:szCs w:val="22"/>
          <w:lang w:val="el-GR"/>
        </w:rPr>
        <w:t xml:space="preserve">και </w:t>
      </w:r>
      <w:r w:rsidR="00A9093E">
        <w:rPr>
          <w:sz w:val="22"/>
          <w:szCs w:val="22"/>
          <w:lang w:val="el-GR"/>
        </w:rPr>
        <w:t>κατά τη διάρκεια του</w:t>
      </w:r>
      <w:r w:rsidR="000A0692">
        <w:rPr>
          <w:sz w:val="22"/>
          <w:szCs w:val="22"/>
          <w:lang w:val="el-GR"/>
        </w:rPr>
        <w:t xml:space="preserve"> γ</w:t>
      </w:r>
      <w:r w:rsidR="00833DB0">
        <w:rPr>
          <w:sz w:val="22"/>
          <w:szCs w:val="22"/>
          <w:lang w:val="el-GR"/>
        </w:rPr>
        <w:t>΄ τριμήνου του 2025</w:t>
      </w:r>
      <w:r w:rsidR="00517B14" w:rsidRPr="00517B14">
        <w:rPr>
          <w:sz w:val="22"/>
          <w:szCs w:val="22"/>
          <w:lang w:val="el-GR"/>
        </w:rPr>
        <w:t xml:space="preserve">. </w:t>
      </w:r>
    </w:p>
    <w:p w14:paraId="1065AADD" w14:textId="4F8D0E7E" w:rsidR="00765C5A" w:rsidRDefault="00517B14" w:rsidP="00517B14">
      <w:pPr>
        <w:spacing w:before="120" w:line="360" w:lineRule="auto"/>
        <w:jc w:val="both"/>
        <w:rPr>
          <w:iCs/>
          <w:sz w:val="22"/>
          <w:szCs w:val="22"/>
          <w:lang w:val="el-GR"/>
        </w:rPr>
      </w:pPr>
      <w:r w:rsidRPr="00AA26AD">
        <w:rPr>
          <w:sz w:val="22"/>
          <w:szCs w:val="22"/>
          <w:lang w:val="el-GR"/>
        </w:rPr>
        <w:t xml:space="preserve">Οι συνολικοί όροι χορήγησης </w:t>
      </w:r>
      <w:r w:rsidR="00765C5A" w:rsidRPr="00AA26AD">
        <w:rPr>
          <w:sz w:val="22"/>
          <w:szCs w:val="22"/>
          <w:lang w:val="el-GR"/>
        </w:rPr>
        <w:t xml:space="preserve">δανείων προς τις ΜΧΕ </w:t>
      </w:r>
      <w:r w:rsidR="00A22E7E" w:rsidRPr="00AA26AD">
        <w:rPr>
          <w:sz w:val="22"/>
          <w:szCs w:val="22"/>
          <w:lang w:val="el-GR"/>
        </w:rPr>
        <w:t>έγι</w:t>
      </w:r>
      <w:r w:rsidR="000A0692" w:rsidRPr="00AA26AD">
        <w:rPr>
          <w:sz w:val="22"/>
          <w:szCs w:val="22"/>
          <w:lang w:val="el-GR"/>
        </w:rPr>
        <w:t xml:space="preserve">ναν πιο χαλαροί </w:t>
      </w:r>
      <w:r w:rsidR="00AA26AD">
        <w:rPr>
          <w:sz w:val="22"/>
          <w:szCs w:val="22"/>
          <w:lang w:val="el-GR"/>
        </w:rPr>
        <w:t xml:space="preserve">ως έναν βαθμό </w:t>
      </w:r>
      <w:r w:rsidR="000A0692" w:rsidRPr="00AA26AD">
        <w:rPr>
          <w:sz w:val="22"/>
          <w:szCs w:val="22"/>
          <w:lang w:val="el-GR"/>
        </w:rPr>
        <w:t>σε σχέση με το α΄ τρίμηνο του 2025</w:t>
      </w:r>
      <w:r w:rsidR="00A22E7E" w:rsidRPr="00AA26AD">
        <w:rPr>
          <w:sz w:val="22"/>
          <w:szCs w:val="22"/>
          <w:lang w:val="el-GR"/>
        </w:rPr>
        <w:t xml:space="preserve">, </w:t>
      </w:r>
      <w:r w:rsidR="00F73B86" w:rsidRPr="00AA26AD">
        <w:rPr>
          <w:sz w:val="22"/>
          <w:szCs w:val="22"/>
          <w:lang w:val="el-GR"/>
        </w:rPr>
        <w:t>καθώς</w:t>
      </w:r>
      <w:r w:rsidR="00C55DD7" w:rsidRPr="00AA26AD">
        <w:rPr>
          <w:sz w:val="22"/>
          <w:szCs w:val="22"/>
          <w:lang w:val="el-GR"/>
        </w:rPr>
        <w:t xml:space="preserve"> οι πιέσεις από τον ανταγωνισμό</w:t>
      </w:r>
      <w:r w:rsidR="00475D72" w:rsidRPr="00AA26AD">
        <w:rPr>
          <w:sz w:val="22"/>
          <w:szCs w:val="22"/>
          <w:lang w:val="el-GR"/>
        </w:rPr>
        <w:t xml:space="preserve"> </w:t>
      </w:r>
      <w:r w:rsidR="00F73B86" w:rsidRPr="00AA26AD">
        <w:rPr>
          <w:sz w:val="22"/>
          <w:szCs w:val="22"/>
          <w:lang w:val="el-GR"/>
        </w:rPr>
        <w:t xml:space="preserve">συνέβαλαν στη </w:t>
      </w:r>
      <w:r w:rsidR="00C55DD7" w:rsidRPr="00AA26AD">
        <w:rPr>
          <w:sz w:val="22"/>
          <w:szCs w:val="22"/>
          <w:lang w:val="el-GR"/>
        </w:rPr>
        <w:t>μείωσ</w:t>
      </w:r>
      <w:r w:rsidR="00F73B86" w:rsidRPr="00AA26AD">
        <w:rPr>
          <w:sz w:val="22"/>
          <w:szCs w:val="22"/>
          <w:lang w:val="el-GR"/>
        </w:rPr>
        <w:t>η</w:t>
      </w:r>
      <w:r w:rsidR="00C55DD7" w:rsidRPr="00AA26AD">
        <w:rPr>
          <w:sz w:val="22"/>
          <w:szCs w:val="22"/>
          <w:lang w:val="el-GR"/>
        </w:rPr>
        <w:t xml:space="preserve"> το</w:t>
      </w:r>
      <w:r w:rsidR="00F73B86" w:rsidRPr="00AA26AD">
        <w:rPr>
          <w:sz w:val="22"/>
          <w:szCs w:val="22"/>
          <w:lang w:val="el-GR"/>
        </w:rPr>
        <w:t>υ</w:t>
      </w:r>
      <w:r w:rsidR="00C55DD7" w:rsidRPr="00AA26AD">
        <w:rPr>
          <w:sz w:val="22"/>
          <w:szCs w:val="22"/>
          <w:lang w:val="el-GR"/>
        </w:rPr>
        <w:t xml:space="preserve"> </w:t>
      </w:r>
      <w:r w:rsidR="00475D72" w:rsidRPr="00AA26AD">
        <w:rPr>
          <w:sz w:val="22"/>
          <w:szCs w:val="22"/>
          <w:lang w:val="el-GR"/>
        </w:rPr>
        <w:t>περιθ</w:t>
      </w:r>
      <w:r w:rsidR="00F73B86" w:rsidRPr="00AA26AD">
        <w:rPr>
          <w:sz w:val="22"/>
          <w:szCs w:val="22"/>
          <w:lang w:val="el-GR"/>
        </w:rPr>
        <w:t>ωρίου</w:t>
      </w:r>
      <w:r w:rsidR="00475D72" w:rsidRPr="00AA26AD">
        <w:rPr>
          <w:sz w:val="22"/>
          <w:szCs w:val="22"/>
          <w:lang w:val="el-GR"/>
        </w:rPr>
        <w:t xml:space="preserve"> των τραπεζών</w:t>
      </w:r>
      <w:r w:rsidR="00511DCA">
        <w:rPr>
          <w:sz w:val="22"/>
          <w:szCs w:val="22"/>
          <w:lang w:val="el-GR"/>
        </w:rPr>
        <w:t>,</w:t>
      </w:r>
      <w:r w:rsidR="00475D72" w:rsidRPr="00AA26AD">
        <w:rPr>
          <w:sz w:val="22"/>
          <w:szCs w:val="22"/>
          <w:lang w:val="el-GR"/>
        </w:rPr>
        <w:t xml:space="preserve"> </w:t>
      </w:r>
      <w:r w:rsidR="00EF6F6E" w:rsidRPr="00AA26AD">
        <w:rPr>
          <w:sz w:val="22"/>
          <w:szCs w:val="22"/>
          <w:lang w:val="el-GR"/>
        </w:rPr>
        <w:t xml:space="preserve">κυρίως </w:t>
      </w:r>
      <w:r w:rsidR="00475D72" w:rsidRPr="00AA26AD">
        <w:rPr>
          <w:sz w:val="22"/>
          <w:szCs w:val="22"/>
          <w:lang w:val="el-GR"/>
        </w:rPr>
        <w:t>για τα συνήθη δάνεια</w:t>
      </w:r>
      <w:r w:rsidR="00DA70DD" w:rsidRPr="00AA26AD">
        <w:rPr>
          <w:sz w:val="22"/>
          <w:szCs w:val="22"/>
          <w:lang w:val="el-GR"/>
        </w:rPr>
        <w:t>.</w:t>
      </w:r>
      <w:r w:rsidR="00E402AE">
        <w:rPr>
          <w:sz w:val="22"/>
          <w:szCs w:val="22"/>
          <w:lang w:val="el-GR"/>
        </w:rPr>
        <w:t xml:space="preserve"> </w:t>
      </w:r>
    </w:p>
    <w:p w14:paraId="2758AC0A" w14:textId="2D8A1A28" w:rsidR="00517B14" w:rsidRPr="00517B14" w:rsidRDefault="00767C8E" w:rsidP="00517B14">
      <w:pPr>
        <w:spacing w:before="120"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Κατά το </w:t>
      </w:r>
      <w:r w:rsidR="00E322D7">
        <w:rPr>
          <w:sz w:val="22"/>
          <w:szCs w:val="22"/>
          <w:lang w:val="el-GR"/>
        </w:rPr>
        <w:t>β</w:t>
      </w:r>
      <w:r>
        <w:rPr>
          <w:sz w:val="22"/>
          <w:szCs w:val="22"/>
          <w:lang w:val="el-GR"/>
        </w:rPr>
        <w:t>΄ τρίμηνο του 202</w:t>
      </w:r>
      <w:r w:rsidR="00162AE5">
        <w:rPr>
          <w:sz w:val="22"/>
          <w:szCs w:val="22"/>
          <w:lang w:val="el-GR"/>
        </w:rPr>
        <w:t>5</w:t>
      </w:r>
      <w:r w:rsidR="00395B99">
        <w:rPr>
          <w:sz w:val="22"/>
          <w:szCs w:val="22"/>
          <w:lang w:val="el-GR"/>
        </w:rPr>
        <w:t>,</w:t>
      </w:r>
      <w:r w:rsidR="000B45DF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η</w:t>
      </w:r>
      <w:r w:rsidR="00517B14" w:rsidRPr="00517B14">
        <w:rPr>
          <w:sz w:val="22"/>
          <w:szCs w:val="22"/>
          <w:lang w:val="el-GR"/>
        </w:rPr>
        <w:t xml:space="preserve"> συνολική ζήτηση δανείων </w:t>
      </w:r>
      <w:r w:rsidR="007C5E83">
        <w:rPr>
          <w:sz w:val="22"/>
          <w:szCs w:val="22"/>
          <w:lang w:val="el-GR"/>
        </w:rPr>
        <w:t>από</w:t>
      </w:r>
      <w:r w:rsidR="00772419">
        <w:rPr>
          <w:sz w:val="22"/>
          <w:szCs w:val="22"/>
          <w:lang w:val="el-GR"/>
        </w:rPr>
        <w:t xml:space="preserve"> </w:t>
      </w:r>
      <w:r w:rsidR="000C78B0">
        <w:rPr>
          <w:sz w:val="22"/>
          <w:szCs w:val="22"/>
          <w:lang w:val="el-GR"/>
        </w:rPr>
        <w:t xml:space="preserve">τις </w:t>
      </w:r>
      <w:r w:rsidR="00772419">
        <w:rPr>
          <w:sz w:val="22"/>
          <w:szCs w:val="22"/>
          <w:lang w:val="el-GR"/>
        </w:rPr>
        <w:t>ΜΧΕ</w:t>
      </w:r>
      <w:r w:rsidR="00F17B3F">
        <w:rPr>
          <w:sz w:val="22"/>
          <w:szCs w:val="22"/>
          <w:lang w:val="el-GR"/>
        </w:rPr>
        <w:t>,</w:t>
      </w:r>
      <w:r w:rsidR="00395B99">
        <w:rPr>
          <w:sz w:val="22"/>
          <w:szCs w:val="22"/>
          <w:lang w:val="el-GR"/>
        </w:rPr>
        <w:t xml:space="preserve"> </w:t>
      </w:r>
      <w:r w:rsidR="00EF1D6A">
        <w:rPr>
          <w:sz w:val="22"/>
          <w:szCs w:val="22"/>
          <w:lang w:val="el-GR"/>
        </w:rPr>
        <w:t>και ειδικότερα η ζήτηση μακροπρόθεσμων δανείων</w:t>
      </w:r>
      <w:r w:rsidR="00F17B3F">
        <w:rPr>
          <w:sz w:val="22"/>
          <w:szCs w:val="22"/>
          <w:lang w:val="el-GR"/>
        </w:rPr>
        <w:t>,</w:t>
      </w:r>
      <w:r w:rsidR="00EF1D6A">
        <w:rPr>
          <w:sz w:val="22"/>
          <w:szCs w:val="22"/>
          <w:lang w:val="el-GR"/>
        </w:rPr>
        <w:t xml:space="preserve"> </w:t>
      </w:r>
      <w:r w:rsidR="00E322D7">
        <w:rPr>
          <w:sz w:val="22"/>
          <w:szCs w:val="22"/>
          <w:lang w:val="el-GR"/>
        </w:rPr>
        <w:t>αυξ</w:t>
      </w:r>
      <w:r w:rsidR="00D4183C">
        <w:rPr>
          <w:sz w:val="22"/>
          <w:szCs w:val="22"/>
          <w:lang w:val="el-GR"/>
        </w:rPr>
        <w:t xml:space="preserve">ήθηκε </w:t>
      </w:r>
      <w:r w:rsidR="00420E78">
        <w:rPr>
          <w:sz w:val="22"/>
          <w:szCs w:val="22"/>
          <w:lang w:val="el-GR"/>
        </w:rPr>
        <w:t>σε έναν βαθμό</w:t>
      </w:r>
      <w:r w:rsidR="00EF1D6A">
        <w:rPr>
          <w:sz w:val="22"/>
          <w:szCs w:val="22"/>
          <w:lang w:val="el-GR"/>
        </w:rPr>
        <w:t>,</w:t>
      </w:r>
      <w:r w:rsidR="00420E78">
        <w:rPr>
          <w:sz w:val="22"/>
          <w:szCs w:val="22"/>
          <w:lang w:val="el-GR"/>
        </w:rPr>
        <w:t xml:space="preserve"> </w:t>
      </w:r>
      <w:r w:rsidR="00D4183C">
        <w:rPr>
          <w:sz w:val="22"/>
          <w:szCs w:val="22"/>
          <w:lang w:val="el-GR"/>
        </w:rPr>
        <w:t xml:space="preserve">αφενός λόγω χρηματοδοτικών αναγκών αφετέρου λόγω </w:t>
      </w:r>
      <w:r w:rsidR="00517A55">
        <w:rPr>
          <w:sz w:val="22"/>
          <w:szCs w:val="22"/>
          <w:lang w:val="el-GR"/>
        </w:rPr>
        <w:t xml:space="preserve">έλλειψης </w:t>
      </w:r>
      <w:r w:rsidR="00D4183C">
        <w:rPr>
          <w:sz w:val="22"/>
          <w:szCs w:val="22"/>
          <w:lang w:val="el-GR"/>
        </w:rPr>
        <w:t>εναλλακτικών πηγών χρηματοδότησης</w:t>
      </w:r>
      <w:r w:rsidR="00A366E7">
        <w:rPr>
          <w:sz w:val="22"/>
          <w:szCs w:val="22"/>
          <w:lang w:val="el-GR"/>
        </w:rPr>
        <w:t xml:space="preserve"> </w:t>
      </w:r>
      <w:r w:rsidR="0071049D">
        <w:rPr>
          <w:sz w:val="22"/>
          <w:szCs w:val="22"/>
          <w:lang w:val="el-GR"/>
        </w:rPr>
        <w:t>(βλ. Διάγραμμα 2)</w:t>
      </w:r>
      <w:r w:rsidR="00BD7948">
        <w:rPr>
          <w:sz w:val="22"/>
          <w:szCs w:val="22"/>
          <w:lang w:val="el-GR"/>
        </w:rPr>
        <w:t>.</w:t>
      </w:r>
      <w:r w:rsidR="00A53635">
        <w:rPr>
          <w:sz w:val="22"/>
          <w:szCs w:val="22"/>
          <w:lang w:val="el-GR"/>
        </w:rPr>
        <w:t xml:space="preserve"> </w:t>
      </w:r>
      <w:r w:rsidR="001A2517">
        <w:rPr>
          <w:sz w:val="22"/>
          <w:szCs w:val="22"/>
          <w:lang w:val="el-GR"/>
        </w:rPr>
        <w:t>Για το γ</w:t>
      </w:r>
      <w:r w:rsidR="006D764A">
        <w:rPr>
          <w:sz w:val="22"/>
          <w:szCs w:val="22"/>
          <w:lang w:val="el-GR"/>
        </w:rPr>
        <w:t>΄ τρίμηνο του 2025, ο</w:t>
      </w:r>
      <w:r w:rsidR="005B4CDC">
        <w:rPr>
          <w:sz w:val="22"/>
          <w:szCs w:val="22"/>
          <w:lang w:val="el-GR"/>
        </w:rPr>
        <w:t xml:space="preserve">ι τράπεζες εκτιμούν ότι η </w:t>
      </w:r>
      <w:r w:rsidR="00DD6DE2">
        <w:rPr>
          <w:sz w:val="22"/>
          <w:szCs w:val="22"/>
          <w:lang w:val="el-GR"/>
        </w:rPr>
        <w:t xml:space="preserve">συνολική </w:t>
      </w:r>
      <w:r w:rsidR="005B4CDC">
        <w:rPr>
          <w:sz w:val="22"/>
          <w:szCs w:val="22"/>
          <w:lang w:val="el-GR"/>
        </w:rPr>
        <w:t>ζ</w:t>
      </w:r>
      <w:r w:rsidR="004D775E">
        <w:rPr>
          <w:sz w:val="22"/>
          <w:szCs w:val="22"/>
          <w:lang w:val="el-GR"/>
        </w:rPr>
        <w:t>ήτηση από τις ΜΧΕ θα παραμείνει</w:t>
      </w:r>
      <w:r w:rsidR="005B4CDC">
        <w:rPr>
          <w:sz w:val="22"/>
          <w:szCs w:val="22"/>
          <w:lang w:val="el-GR"/>
        </w:rPr>
        <w:t xml:space="preserve"> αμετά</w:t>
      </w:r>
      <w:r w:rsidR="006D764A">
        <w:rPr>
          <w:sz w:val="22"/>
          <w:szCs w:val="22"/>
          <w:lang w:val="el-GR"/>
        </w:rPr>
        <w:t>βλητη</w:t>
      </w:r>
      <w:r w:rsidR="001A2517">
        <w:rPr>
          <w:sz w:val="22"/>
          <w:szCs w:val="22"/>
          <w:lang w:val="el-GR"/>
        </w:rPr>
        <w:t>.</w:t>
      </w:r>
      <w:r w:rsidR="008960BE">
        <w:rPr>
          <w:sz w:val="22"/>
          <w:szCs w:val="22"/>
          <w:lang w:val="el-GR"/>
        </w:rPr>
        <w:t xml:space="preserve"> </w:t>
      </w:r>
    </w:p>
    <w:p w14:paraId="089DEDB2" w14:textId="4A49A9C8" w:rsidR="002C6FDE" w:rsidRPr="0081208F" w:rsidRDefault="00323F6C" w:rsidP="00517B14">
      <w:pPr>
        <w:spacing w:before="120"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lastRenderedPageBreak/>
        <w:t>Κατά το β</w:t>
      </w:r>
      <w:r w:rsidR="007B5CE2">
        <w:rPr>
          <w:sz w:val="22"/>
          <w:szCs w:val="22"/>
          <w:lang w:val="el-GR"/>
        </w:rPr>
        <w:t>’ τρίμηνο 2025</w:t>
      </w:r>
      <w:r w:rsidR="00525D3E">
        <w:rPr>
          <w:sz w:val="22"/>
          <w:szCs w:val="22"/>
          <w:lang w:val="el-GR"/>
        </w:rPr>
        <w:t>, η</w:t>
      </w:r>
      <w:r w:rsidR="00517B14" w:rsidRPr="00517B14">
        <w:rPr>
          <w:sz w:val="22"/>
          <w:szCs w:val="22"/>
          <w:lang w:val="el-GR"/>
        </w:rPr>
        <w:t xml:space="preserve"> αναλογία των αιτήσεων για επιχειρηματικά δάνεια που </w:t>
      </w:r>
      <w:r w:rsidR="00F340A7">
        <w:rPr>
          <w:sz w:val="22"/>
          <w:szCs w:val="22"/>
          <w:lang w:val="el-GR"/>
        </w:rPr>
        <w:t>απορρίφθηκαν παρέ</w:t>
      </w:r>
      <w:r w:rsidR="00F7061F">
        <w:rPr>
          <w:sz w:val="22"/>
          <w:szCs w:val="22"/>
          <w:lang w:val="el-GR"/>
        </w:rPr>
        <w:t xml:space="preserve">μεινε </w:t>
      </w:r>
      <w:r w:rsidR="00517B14" w:rsidRPr="00517B14">
        <w:rPr>
          <w:sz w:val="22"/>
          <w:szCs w:val="22"/>
          <w:lang w:val="el-GR"/>
        </w:rPr>
        <w:t>αμετάβλητη σε σχέση με το προηγούμενο τρίμηνο (βλ. Διάγραμμα 3).</w:t>
      </w:r>
    </w:p>
    <w:p w14:paraId="63B3BB54" w14:textId="77777777" w:rsidR="002E479E" w:rsidRDefault="002E479E" w:rsidP="00517B14">
      <w:pPr>
        <w:spacing w:before="120" w:line="360" w:lineRule="auto"/>
        <w:jc w:val="both"/>
        <w:rPr>
          <w:b/>
          <w:color w:val="002060"/>
          <w:sz w:val="22"/>
          <w:szCs w:val="22"/>
          <w:lang w:val="el-GR"/>
        </w:rPr>
      </w:pPr>
    </w:p>
    <w:p w14:paraId="6888F973" w14:textId="7547EF49" w:rsidR="00517B14" w:rsidRPr="002B1EDF" w:rsidRDefault="00517B14" w:rsidP="00517B14">
      <w:pPr>
        <w:spacing w:before="120" w:line="360" w:lineRule="auto"/>
        <w:jc w:val="both"/>
        <w:rPr>
          <w:b/>
          <w:color w:val="002060"/>
          <w:szCs w:val="24"/>
          <w:lang w:val="el-GR"/>
        </w:rPr>
      </w:pPr>
      <w:r w:rsidRPr="002B1EDF">
        <w:rPr>
          <w:b/>
          <w:color w:val="002060"/>
          <w:szCs w:val="24"/>
          <w:lang w:val="el-GR"/>
        </w:rPr>
        <w:t>Δάνεια προς νοικοκυριά</w:t>
      </w:r>
    </w:p>
    <w:p w14:paraId="4A201128" w14:textId="397A2391" w:rsidR="00F90B73" w:rsidRDefault="00371C14" w:rsidP="00F90B73">
      <w:pPr>
        <w:spacing w:before="120"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Κατά το </w:t>
      </w:r>
      <w:r w:rsidR="00543A80">
        <w:rPr>
          <w:sz w:val="22"/>
          <w:szCs w:val="22"/>
          <w:lang w:val="el-GR"/>
        </w:rPr>
        <w:t>β</w:t>
      </w:r>
      <w:r w:rsidR="00F36B9D">
        <w:rPr>
          <w:sz w:val="22"/>
          <w:szCs w:val="22"/>
          <w:lang w:val="el-GR"/>
        </w:rPr>
        <w:t>΄ τρίμηνο του 202</w:t>
      </w:r>
      <w:r w:rsidR="00091952">
        <w:rPr>
          <w:sz w:val="22"/>
          <w:szCs w:val="22"/>
          <w:lang w:val="el-GR"/>
        </w:rPr>
        <w:t>5</w:t>
      </w:r>
      <w:r w:rsidR="00AA196A">
        <w:rPr>
          <w:sz w:val="22"/>
          <w:szCs w:val="22"/>
          <w:lang w:val="el-GR"/>
        </w:rPr>
        <w:t>,</w:t>
      </w:r>
      <w:r w:rsidR="00517B14" w:rsidRPr="00517B14">
        <w:rPr>
          <w:sz w:val="22"/>
          <w:szCs w:val="22"/>
          <w:lang w:val="el-GR"/>
        </w:rPr>
        <w:t xml:space="preserve"> τα κριτήρια </w:t>
      </w:r>
      <w:r w:rsidR="0099010E" w:rsidRPr="00517B14">
        <w:rPr>
          <w:sz w:val="22"/>
          <w:szCs w:val="22"/>
          <w:lang w:val="el-GR"/>
        </w:rPr>
        <w:t xml:space="preserve">χορήγησης δανείων προς </w:t>
      </w:r>
      <w:r w:rsidR="0099010E">
        <w:rPr>
          <w:sz w:val="22"/>
          <w:szCs w:val="22"/>
          <w:lang w:val="el-GR"/>
        </w:rPr>
        <w:t>τα νοικοκυριά</w:t>
      </w:r>
      <w:r w:rsidR="0099010E" w:rsidRPr="00517B14">
        <w:rPr>
          <w:sz w:val="22"/>
          <w:szCs w:val="22"/>
          <w:lang w:val="el-GR"/>
        </w:rPr>
        <w:t xml:space="preserve"> </w:t>
      </w:r>
      <w:r w:rsidR="001B0697">
        <w:rPr>
          <w:sz w:val="22"/>
          <w:szCs w:val="22"/>
          <w:lang w:val="el-GR"/>
        </w:rPr>
        <w:t>παρέμε</w:t>
      </w:r>
      <w:r w:rsidR="004536B7">
        <w:rPr>
          <w:sz w:val="22"/>
          <w:szCs w:val="22"/>
          <w:lang w:val="el-GR"/>
        </w:rPr>
        <w:t xml:space="preserve">ιναν </w:t>
      </w:r>
      <w:r w:rsidR="00D30CF4">
        <w:rPr>
          <w:sz w:val="22"/>
          <w:szCs w:val="22"/>
          <w:lang w:val="el-GR"/>
        </w:rPr>
        <w:t xml:space="preserve"> αμετάβλητα </w:t>
      </w:r>
      <w:r w:rsidR="00091952">
        <w:rPr>
          <w:sz w:val="22"/>
          <w:szCs w:val="22"/>
          <w:lang w:val="el-GR"/>
        </w:rPr>
        <w:t>όσον αφορά τα στεγαστικά και τα καταν</w:t>
      </w:r>
      <w:r w:rsidR="00E10A4A">
        <w:rPr>
          <w:sz w:val="22"/>
          <w:szCs w:val="22"/>
          <w:lang w:val="el-GR"/>
        </w:rPr>
        <w:t>αλωτικά δάνεια σε σχέση με το α΄ τρίμηνο του 2025</w:t>
      </w:r>
      <w:r w:rsidR="007A1638" w:rsidRPr="007A1638">
        <w:rPr>
          <w:sz w:val="22"/>
          <w:szCs w:val="22"/>
          <w:lang w:val="el-GR"/>
        </w:rPr>
        <w:t xml:space="preserve"> </w:t>
      </w:r>
      <w:r w:rsidR="007A1638" w:rsidRPr="00517B14">
        <w:rPr>
          <w:sz w:val="22"/>
          <w:szCs w:val="22"/>
          <w:lang w:val="el-GR"/>
        </w:rPr>
        <w:t>(βλ. Διάγραμμα 1)</w:t>
      </w:r>
      <w:r w:rsidR="00A861AC">
        <w:rPr>
          <w:sz w:val="22"/>
          <w:szCs w:val="22"/>
          <w:lang w:val="el-GR"/>
        </w:rPr>
        <w:t>.</w:t>
      </w:r>
      <w:r w:rsidR="004E4C3C">
        <w:rPr>
          <w:sz w:val="22"/>
          <w:szCs w:val="22"/>
          <w:lang w:val="el-GR"/>
        </w:rPr>
        <w:t xml:space="preserve"> </w:t>
      </w:r>
      <w:r w:rsidR="0099010E">
        <w:rPr>
          <w:sz w:val="22"/>
          <w:szCs w:val="22"/>
          <w:lang w:val="el-GR"/>
        </w:rPr>
        <w:t>Ο</w:t>
      </w:r>
      <w:r w:rsidR="00517B14" w:rsidRPr="00517B14">
        <w:rPr>
          <w:sz w:val="22"/>
          <w:szCs w:val="22"/>
          <w:lang w:val="el-GR"/>
        </w:rPr>
        <w:t xml:space="preserve">ι συνολικοί όροι χορήγησης </w:t>
      </w:r>
      <w:r w:rsidR="00F90B73">
        <w:rPr>
          <w:sz w:val="22"/>
          <w:szCs w:val="22"/>
          <w:lang w:val="el-GR"/>
        </w:rPr>
        <w:t xml:space="preserve">στεγαστικών </w:t>
      </w:r>
      <w:r w:rsidR="008251DB">
        <w:rPr>
          <w:sz w:val="22"/>
          <w:szCs w:val="22"/>
          <w:lang w:val="el-GR"/>
        </w:rPr>
        <w:t xml:space="preserve">δανείων </w:t>
      </w:r>
      <w:r w:rsidR="00BC4378">
        <w:rPr>
          <w:sz w:val="22"/>
          <w:szCs w:val="22"/>
          <w:lang w:val="el-GR"/>
        </w:rPr>
        <w:t xml:space="preserve">έγιναν πιο </w:t>
      </w:r>
      <w:r w:rsidR="00E10A4A">
        <w:rPr>
          <w:sz w:val="22"/>
          <w:szCs w:val="22"/>
          <w:lang w:val="el-GR"/>
        </w:rPr>
        <w:t>χαλαροί</w:t>
      </w:r>
      <w:r w:rsidR="00BC4378">
        <w:rPr>
          <w:sz w:val="22"/>
          <w:szCs w:val="22"/>
          <w:lang w:val="el-GR"/>
        </w:rPr>
        <w:t xml:space="preserve"> </w:t>
      </w:r>
      <w:r w:rsidR="003D3186">
        <w:rPr>
          <w:sz w:val="22"/>
          <w:szCs w:val="22"/>
          <w:lang w:val="el-GR"/>
        </w:rPr>
        <w:t xml:space="preserve">ως έναν βαθμό </w:t>
      </w:r>
      <w:r w:rsidR="002B3032">
        <w:rPr>
          <w:sz w:val="22"/>
          <w:szCs w:val="22"/>
          <w:lang w:val="el-GR"/>
        </w:rPr>
        <w:t>στο πλαίσιο</w:t>
      </w:r>
      <w:r w:rsidR="008C1C40">
        <w:rPr>
          <w:sz w:val="22"/>
          <w:szCs w:val="22"/>
          <w:lang w:val="el-GR"/>
        </w:rPr>
        <w:t xml:space="preserve"> </w:t>
      </w:r>
      <w:r w:rsidR="00E10A4A" w:rsidRPr="00E10A4A">
        <w:rPr>
          <w:sz w:val="22"/>
          <w:szCs w:val="22"/>
          <w:lang w:val="el-GR"/>
        </w:rPr>
        <w:t>ενίσχυσης της δανειοδοτικής δραστηριότητα</w:t>
      </w:r>
      <w:r w:rsidR="00E10A4A">
        <w:rPr>
          <w:sz w:val="22"/>
          <w:szCs w:val="22"/>
          <w:lang w:val="el-GR"/>
        </w:rPr>
        <w:t>ς και διευκόλυνσης των πελατών. Οι συνολικοί</w:t>
      </w:r>
      <w:r w:rsidR="004C46C2">
        <w:rPr>
          <w:sz w:val="22"/>
          <w:szCs w:val="22"/>
          <w:lang w:val="el-GR"/>
        </w:rPr>
        <w:t xml:space="preserve"> όροι χορήγησης </w:t>
      </w:r>
      <w:r w:rsidR="00BE17C7">
        <w:rPr>
          <w:sz w:val="22"/>
          <w:szCs w:val="22"/>
          <w:lang w:val="el-GR"/>
        </w:rPr>
        <w:t>των</w:t>
      </w:r>
      <w:r w:rsidR="008251DB" w:rsidRPr="008251DB">
        <w:rPr>
          <w:sz w:val="22"/>
          <w:szCs w:val="22"/>
          <w:lang w:val="el-GR"/>
        </w:rPr>
        <w:t xml:space="preserve"> </w:t>
      </w:r>
      <w:r w:rsidR="008251DB">
        <w:rPr>
          <w:sz w:val="22"/>
          <w:szCs w:val="22"/>
          <w:lang w:val="el-GR"/>
        </w:rPr>
        <w:t>καταναλωτικών και λοιπών</w:t>
      </w:r>
      <w:r w:rsidR="008251DB" w:rsidRPr="008251DB">
        <w:rPr>
          <w:sz w:val="22"/>
          <w:szCs w:val="22"/>
          <w:lang w:val="el-GR"/>
        </w:rPr>
        <w:t xml:space="preserve"> δανείων παρ</w:t>
      </w:r>
      <w:r w:rsidR="008251DB">
        <w:rPr>
          <w:sz w:val="22"/>
          <w:szCs w:val="22"/>
          <w:lang w:val="el-GR"/>
        </w:rPr>
        <w:t>έμειναν</w:t>
      </w:r>
      <w:r w:rsidR="008251DB" w:rsidRPr="008251DB">
        <w:rPr>
          <w:sz w:val="22"/>
          <w:szCs w:val="22"/>
          <w:lang w:val="el-GR"/>
        </w:rPr>
        <w:t xml:space="preserve"> αμετάβλητοι </w:t>
      </w:r>
      <w:r w:rsidR="00E10A4A">
        <w:rPr>
          <w:sz w:val="22"/>
          <w:szCs w:val="22"/>
          <w:lang w:val="el-GR"/>
        </w:rPr>
        <w:t>για το β</w:t>
      </w:r>
      <w:r w:rsidR="00BE17C7">
        <w:rPr>
          <w:sz w:val="22"/>
          <w:szCs w:val="22"/>
          <w:lang w:val="el-GR"/>
        </w:rPr>
        <w:t xml:space="preserve">΄ </w:t>
      </w:r>
      <w:r w:rsidR="00D202E1">
        <w:rPr>
          <w:sz w:val="22"/>
          <w:szCs w:val="22"/>
          <w:lang w:val="el-GR"/>
        </w:rPr>
        <w:t>τρίμηνο του 2025</w:t>
      </w:r>
      <w:r w:rsidR="008251DB">
        <w:rPr>
          <w:sz w:val="22"/>
          <w:szCs w:val="22"/>
          <w:lang w:val="el-GR"/>
        </w:rPr>
        <w:t>.</w:t>
      </w:r>
      <w:r w:rsidR="001B1CC6">
        <w:rPr>
          <w:sz w:val="22"/>
          <w:szCs w:val="22"/>
          <w:lang w:val="el-GR"/>
        </w:rPr>
        <w:t xml:space="preserve"> </w:t>
      </w:r>
      <w:r w:rsidR="00F90B73" w:rsidRPr="00517B14">
        <w:rPr>
          <w:sz w:val="22"/>
          <w:szCs w:val="22"/>
          <w:lang w:val="el-GR"/>
        </w:rPr>
        <w:t xml:space="preserve">Τα κριτήρια χορήγησης </w:t>
      </w:r>
      <w:r w:rsidR="00F90B73">
        <w:rPr>
          <w:sz w:val="22"/>
          <w:szCs w:val="22"/>
          <w:lang w:val="el-GR"/>
        </w:rPr>
        <w:t>στεγαστικών</w:t>
      </w:r>
      <w:r w:rsidR="00F90B73" w:rsidRPr="00517B14">
        <w:rPr>
          <w:sz w:val="22"/>
          <w:szCs w:val="22"/>
          <w:lang w:val="el-GR"/>
        </w:rPr>
        <w:t xml:space="preserve"> </w:t>
      </w:r>
      <w:r w:rsidR="00D202E1">
        <w:rPr>
          <w:sz w:val="22"/>
          <w:szCs w:val="22"/>
          <w:lang w:val="el-GR"/>
        </w:rPr>
        <w:t xml:space="preserve">και καταναλωτικών </w:t>
      </w:r>
      <w:r w:rsidR="00F90B73">
        <w:rPr>
          <w:sz w:val="22"/>
          <w:szCs w:val="22"/>
          <w:lang w:val="el-GR"/>
        </w:rPr>
        <w:t xml:space="preserve">δανείων </w:t>
      </w:r>
      <w:r w:rsidR="00F90B73" w:rsidRPr="00517B14">
        <w:rPr>
          <w:sz w:val="22"/>
          <w:szCs w:val="22"/>
          <w:lang w:val="el-GR"/>
        </w:rPr>
        <w:t xml:space="preserve">αναμένεται να </w:t>
      </w:r>
      <w:r w:rsidR="00D202E1">
        <w:rPr>
          <w:sz w:val="22"/>
          <w:szCs w:val="22"/>
          <w:lang w:val="el-GR"/>
        </w:rPr>
        <w:t>παραμείνουν</w:t>
      </w:r>
      <w:r w:rsidR="008251DB">
        <w:rPr>
          <w:sz w:val="22"/>
          <w:szCs w:val="22"/>
          <w:lang w:val="el-GR"/>
        </w:rPr>
        <w:t xml:space="preserve"> </w:t>
      </w:r>
      <w:r w:rsidR="00F90B73">
        <w:rPr>
          <w:sz w:val="22"/>
          <w:szCs w:val="22"/>
          <w:lang w:val="el-GR"/>
        </w:rPr>
        <w:t>α</w:t>
      </w:r>
      <w:r w:rsidR="00A861AC">
        <w:rPr>
          <w:sz w:val="22"/>
          <w:szCs w:val="22"/>
          <w:lang w:val="el-GR"/>
        </w:rPr>
        <w:t xml:space="preserve">μετάβλητα </w:t>
      </w:r>
      <w:r w:rsidR="00D202E1">
        <w:rPr>
          <w:sz w:val="22"/>
          <w:szCs w:val="22"/>
          <w:lang w:val="el-GR"/>
        </w:rPr>
        <w:t>κατά</w:t>
      </w:r>
      <w:r w:rsidR="00E10A4A">
        <w:rPr>
          <w:sz w:val="22"/>
          <w:szCs w:val="22"/>
          <w:lang w:val="el-GR"/>
        </w:rPr>
        <w:t xml:space="preserve"> τη διάρκεια του γ</w:t>
      </w:r>
      <w:r w:rsidR="008251DB">
        <w:rPr>
          <w:sz w:val="22"/>
          <w:szCs w:val="22"/>
          <w:lang w:val="el-GR"/>
        </w:rPr>
        <w:t>΄ τριμήνου του 2025</w:t>
      </w:r>
      <w:r w:rsidR="00F90B73">
        <w:rPr>
          <w:sz w:val="22"/>
          <w:szCs w:val="22"/>
          <w:lang w:val="el-GR"/>
        </w:rPr>
        <w:t xml:space="preserve">. </w:t>
      </w:r>
    </w:p>
    <w:p w14:paraId="6A1A1855" w14:textId="7F6DEF0E" w:rsidR="000F4200" w:rsidRDefault="000E627D" w:rsidP="00517B14">
      <w:pPr>
        <w:spacing w:before="120"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Το β΄ τρίμηνο του 2025, η</w:t>
      </w:r>
      <w:r w:rsidR="003744C4">
        <w:rPr>
          <w:sz w:val="22"/>
          <w:szCs w:val="22"/>
          <w:lang w:val="el-GR"/>
        </w:rPr>
        <w:t xml:space="preserve"> ζήτηση </w:t>
      </w:r>
      <w:r w:rsidR="00517B14" w:rsidRPr="00517B14">
        <w:rPr>
          <w:sz w:val="22"/>
          <w:szCs w:val="22"/>
          <w:lang w:val="el-GR"/>
        </w:rPr>
        <w:t>για</w:t>
      </w:r>
      <w:r w:rsidR="00E2687F">
        <w:rPr>
          <w:sz w:val="22"/>
          <w:szCs w:val="22"/>
          <w:lang w:val="el-GR"/>
        </w:rPr>
        <w:t xml:space="preserve"> </w:t>
      </w:r>
      <w:r w:rsidR="00F36B9D">
        <w:rPr>
          <w:sz w:val="22"/>
          <w:szCs w:val="22"/>
          <w:lang w:val="el-GR"/>
        </w:rPr>
        <w:t xml:space="preserve">τα </w:t>
      </w:r>
      <w:r w:rsidR="0099010E">
        <w:rPr>
          <w:sz w:val="22"/>
          <w:szCs w:val="22"/>
          <w:lang w:val="el-GR"/>
        </w:rPr>
        <w:t>στεγαστ</w:t>
      </w:r>
      <w:r w:rsidR="00493812">
        <w:rPr>
          <w:sz w:val="22"/>
          <w:szCs w:val="22"/>
          <w:lang w:val="el-GR"/>
        </w:rPr>
        <w:t xml:space="preserve">ικά δάνεια </w:t>
      </w:r>
      <w:r>
        <w:rPr>
          <w:sz w:val="22"/>
          <w:szCs w:val="22"/>
          <w:lang w:val="el-GR"/>
        </w:rPr>
        <w:t>μει</w:t>
      </w:r>
      <w:r w:rsidR="00E7690A">
        <w:rPr>
          <w:sz w:val="22"/>
          <w:szCs w:val="22"/>
          <w:lang w:val="el-GR"/>
        </w:rPr>
        <w:t>ώθηκε</w:t>
      </w:r>
      <w:r w:rsidR="00312C10">
        <w:rPr>
          <w:sz w:val="22"/>
          <w:szCs w:val="22"/>
          <w:lang w:val="el-GR"/>
        </w:rPr>
        <w:t xml:space="preserve">. </w:t>
      </w:r>
      <w:r w:rsidR="006E2EF3">
        <w:rPr>
          <w:sz w:val="22"/>
          <w:szCs w:val="22"/>
          <w:lang w:val="el-GR"/>
        </w:rPr>
        <w:t>Ειδικότερα,</w:t>
      </w:r>
      <w:r w:rsidR="009C7177">
        <w:rPr>
          <w:sz w:val="22"/>
          <w:szCs w:val="22"/>
          <w:lang w:val="el-GR"/>
        </w:rPr>
        <w:t xml:space="preserve"> </w:t>
      </w:r>
      <w:r w:rsidR="006E2EF3" w:rsidRPr="006E2EF3">
        <w:rPr>
          <w:sz w:val="22"/>
          <w:szCs w:val="22"/>
          <w:lang w:val="el-GR"/>
        </w:rPr>
        <w:t xml:space="preserve">ενώ το πρόγραμμα «Σπίτι μου ΙΙ» </w:t>
      </w:r>
      <w:r w:rsidR="00F17B3F">
        <w:rPr>
          <w:sz w:val="22"/>
          <w:szCs w:val="22"/>
          <w:lang w:val="el-GR"/>
        </w:rPr>
        <w:t>βρίσκεται</w:t>
      </w:r>
      <w:r w:rsidR="00460AE7">
        <w:rPr>
          <w:sz w:val="22"/>
          <w:szCs w:val="22"/>
          <w:lang w:val="el-GR"/>
        </w:rPr>
        <w:t xml:space="preserve"> σε εξέλιξη</w:t>
      </w:r>
      <w:r w:rsidR="006E2EF3" w:rsidRPr="006E2EF3">
        <w:rPr>
          <w:sz w:val="22"/>
          <w:szCs w:val="22"/>
          <w:lang w:val="el-GR"/>
        </w:rPr>
        <w:t xml:space="preserve">, </w:t>
      </w:r>
      <w:r w:rsidR="00312C10">
        <w:rPr>
          <w:sz w:val="22"/>
          <w:szCs w:val="22"/>
          <w:lang w:val="el-GR"/>
        </w:rPr>
        <w:t xml:space="preserve">η </w:t>
      </w:r>
      <w:r w:rsidR="00262011">
        <w:rPr>
          <w:sz w:val="22"/>
          <w:szCs w:val="22"/>
          <w:lang w:val="el-GR"/>
        </w:rPr>
        <w:t>εισ</w:t>
      </w:r>
      <w:r w:rsidR="006C5A64">
        <w:rPr>
          <w:sz w:val="22"/>
          <w:szCs w:val="22"/>
          <w:lang w:val="el-GR"/>
        </w:rPr>
        <w:t xml:space="preserve">ροή </w:t>
      </w:r>
      <w:r w:rsidR="00312C10" w:rsidRPr="00312C10">
        <w:rPr>
          <w:sz w:val="22"/>
          <w:szCs w:val="22"/>
          <w:lang w:val="el-GR"/>
        </w:rPr>
        <w:t>αιτήσεων</w:t>
      </w:r>
      <w:r w:rsidR="00312C10">
        <w:rPr>
          <w:sz w:val="22"/>
          <w:szCs w:val="22"/>
          <w:lang w:val="el-GR"/>
        </w:rPr>
        <w:t xml:space="preserve"> </w:t>
      </w:r>
      <w:r w:rsidR="006C5A64">
        <w:rPr>
          <w:sz w:val="22"/>
          <w:szCs w:val="22"/>
          <w:lang w:val="el-GR"/>
        </w:rPr>
        <w:t>των ενδιαφερόμενων</w:t>
      </w:r>
      <w:r w:rsidR="00460AE7">
        <w:rPr>
          <w:sz w:val="22"/>
          <w:szCs w:val="22"/>
          <w:lang w:val="el-GR"/>
        </w:rPr>
        <w:t xml:space="preserve"> </w:t>
      </w:r>
      <w:r w:rsidR="009C7177">
        <w:rPr>
          <w:sz w:val="22"/>
          <w:szCs w:val="22"/>
          <w:lang w:val="el-GR"/>
        </w:rPr>
        <w:t xml:space="preserve">στα Πιστωτικά Ιδρύματα, κατά το β’ τρίμηνο του 2025, συνεχίστηκε </w:t>
      </w:r>
      <w:r w:rsidR="00312C10" w:rsidRPr="00312C10">
        <w:rPr>
          <w:sz w:val="22"/>
          <w:szCs w:val="22"/>
          <w:lang w:val="el-GR"/>
        </w:rPr>
        <w:t>με μειούμενο</w:t>
      </w:r>
      <w:r w:rsidR="00740E35">
        <w:rPr>
          <w:sz w:val="22"/>
          <w:szCs w:val="22"/>
          <w:lang w:val="el-GR"/>
        </w:rPr>
        <w:t xml:space="preserve"> </w:t>
      </w:r>
      <w:r w:rsidR="00312C10" w:rsidRPr="00312C10">
        <w:rPr>
          <w:sz w:val="22"/>
          <w:szCs w:val="22"/>
          <w:lang w:val="el-GR"/>
        </w:rPr>
        <w:t xml:space="preserve">ρυθμό </w:t>
      </w:r>
      <w:r w:rsidR="0067676D">
        <w:rPr>
          <w:sz w:val="22"/>
          <w:szCs w:val="22"/>
          <w:lang w:val="el-GR"/>
        </w:rPr>
        <w:t xml:space="preserve">σε σχέση </w:t>
      </w:r>
      <w:r w:rsidR="001B52C7">
        <w:rPr>
          <w:sz w:val="22"/>
          <w:szCs w:val="22"/>
          <w:lang w:val="el-GR"/>
        </w:rPr>
        <w:t>με τον ρυθμό κατά την έναρξη του προγράμματος</w:t>
      </w:r>
      <w:r w:rsidR="00312C10" w:rsidRPr="00312C10">
        <w:rPr>
          <w:sz w:val="22"/>
          <w:szCs w:val="22"/>
          <w:lang w:val="el-GR"/>
        </w:rPr>
        <w:t xml:space="preserve"> το </w:t>
      </w:r>
      <w:r w:rsidR="00891A69">
        <w:rPr>
          <w:sz w:val="22"/>
          <w:szCs w:val="22"/>
          <w:lang w:val="el-GR"/>
        </w:rPr>
        <w:t>α΄</w:t>
      </w:r>
      <w:r w:rsidR="00891A69" w:rsidRPr="00312C10">
        <w:rPr>
          <w:sz w:val="22"/>
          <w:szCs w:val="22"/>
          <w:lang w:val="el-GR"/>
        </w:rPr>
        <w:t xml:space="preserve"> </w:t>
      </w:r>
      <w:r w:rsidR="00312C10" w:rsidRPr="00312C10">
        <w:rPr>
          <w:sz w:val="22"/>
          <w:szCs w:val="22"/>
          <w:lang w:val="el-GR"/>
        </w:rPr>
        <w:t xml:space="preserve">τρίμηνο </w:t>
      </w:r>
      <w:r w:rsidR="00787BEB">
        <w:rPr>
          <w:sz w:val="22"/>
          <w:szCs w:val="22"/>
          <w:lang w:val="el-GR"/>
        </w:rPr>
        <w:t>του 2025</w:t>
      </w:r>
      <w:r w:rsidR="00905118">
        <w:rPr>
          <w:sz w:val="22"/>
          <w:szCs w:val="22"/>
          <w:lang w:val="el-GR"/>
        </w:rPr>
        <w:t>,</w:t>
      </w:r>
      <w:r w:rsidR="00B17D72">
        <w:rPr>
          <w:sz w:val="22"/>
          <w:szCs w:val="22"/>
          <w:lang w:val="el-GR"/>
        </w:rPr>
        <w:t xml:space="preserve"> οπότε είχε παρατηρηθεί </w:t>
      </w:r>
      <w:r w:rsidR="00B17D72" w:rsidRPr="00B17D72">
        <w:rPr>
          <w:sz w:val="22"/>
          <w:szCs w:val="22"/>
          <w:lang w:val="el-GR"/>
        </w:rPr>
        <w:t>αυξημένη ροή αιτήσεων στο νέο πρόγραμμα «Σπίτι μου ΙΙ»</w:t>
      </w:r>
      <w:r w:rsidR="00787BEB">
        <w:rPr>
          <w:sz w:val="22"/>
          <w:szCs w:val="22"/>
          <w:lang w:val="el-GR"/>
        </w:rPr>
        <w:t>.</w:t>
      </w:r>
      <w:r w:rsidR="0067676D">
        <w:rPr>
          <w:sz w:val="22"/>
          <w:szCs w:val="22"/>
          <w:lang w:val="el-GR"/>
        </w:rPr>
        <w:t xml:space="preserve"> </w:t>
      </w:r>
      <w:r>
        <w:rPr>
          <w:bCs/>
          <w:sz w:val="22"/>
          <w:szCs w:val="22"/>
          <w:lang w:val="el-GR"/>
        </w:rPr>
        <w:t>Η</w:t>
      </w:r>
      <w:r w:rsidR="003E4E77">
        <w:rPr>
          <w:sz w:val="22"/>
          <w:szCs w:val="22"/>
          <w:lang w:val="el-GR"/>
        </w:rPr>
        <w:t xml:space="preserve"> ζήτηση για</w:t>
      </w:r>
      <w:r w:rsidR="00B8467F">
        <w:rPr>
          <w:sz w:val="22"/>
          <w:szCs w:val="22"/>
          <w:lang w:val="el-GR"/>
        </w:rPr>
        <w:t xml:space="preserve"> τα καταναλωτικά </w:t>
      </w:r>
      <w:r w:rsidR="003E4E77">
        <w:rPr>
          <w:sz w:val="22"/>
          <w:szCs w:val="22"/>
          <w:lang w:val="el-GR"/>
        </w:rPr>
        <w:t xml:space="preserve">δάνεια </w:t>
      </w:r>
      <w:r>
        <w:rPr>
          <w:sz w:val="22"/>
          <w:szCs w:val="22"/>
          <w:lang w:val="el-GR"/>
        </w:rPr>
        <w:t>αυξήθηκε</w:t>
      </w:r>
      <w:r w:rsidR="00365602">
        <w:rPr>
          <w:sz w:val="22"/>
          <w:szCs w:val="22"/>
          <w:lang w:val="el-GR"/>
        </w:rPr>
        <w:t xml:space="preserve"> ως έναν βαθμό</w:t>
      </w:r>
      <w:r w:rsidR="00891A69">
        <w:rPr>
          <w:sz w:val="22"/>
          <w:szCs w:val="22"/>
          <w:lang w:val="el-GR"/>
        </w:rPr>
        <w:t xml:space="preserve"> </w:t>
      </w:r>
      <w:r w:rsidR="00891A69" w:rsidRPr="00891A69">
        <w:rPr>
          <w:sz w:val="22"/>
          <w:szCs w:val="22"/>
          <w:lang w:val="el-GR"/>
        </w:rPr>
        <w:t>λόγω χρηματοδοτικών αναγκών</w:t>
      </w:r>
      <w:r>
        <w:rPr>
          <w:sz w:val="22"/>
          <w:szCs w:val="22"/>
          <w:lang w:val="el-GR"/>
        </w:rPr>
        <w:t xml:space="preserve"> για το β</w:t>
      </w:r>
      <w:r w:rsidR="003E4E77">
        <w:rPr>
          <w:sz w:val="22"/>
          <w:szCs w:val="22"/>
          <w:lang w:val="el-GR"/>
        </w:rPr>
        <w:t>΄ τρίμηνο του 2025</w:t>
      </w:r>
      <w:r w:rsidR="00F36B9D">
        <w:rPr>
          <w:sz w:val="22"/>
          <w:szCs w:val="22"/>
          <w:lang w:val="el-GR"/>
        </w:rPr>
        <w:t xml:space="preserve"> </w:t>
      </w:r>
      <w:r w:rsidR="00230EF6">
        <w:rPr>
          <w:sz w:val="22"/>
          <w:szCs w:val="22"/>
          <w:lang w:val="el-GR"/>
        </w:rPr>
        <w:t>(βλ. Διάγραμμα 2)</w:t>
      </w:r>
      <w:r w:rsidR="00F36B9D">
        <w:rPr>
          <w:sz w:val="22"/>
          <w:szCs w:val="22"/>
          <w:lang w:val="el-GR"/>
        </w:rPr>
        <w:t>.</w:t>
      </w:r>
      <w:r w:rsidR="003B6F76">
        <w:rPr>
          <w:sz w:val="22"/>
          <w:szCs w:val="22"/>
          <w:lang w:val="el-GR"/>
        </w:rPr>
        <w:t xml:space="preserve"> </w:t>
      </w:r>
      <w:r w:rsidR="004C46C2">
        <w:rPr>
          <w:sz w:val="22"/>
          <w:szCs w:val="22"/>
          <w:lang w:val="el-GR"/>
        </w:rPr>
        <w:t xml:space="preserve">Κατά </w:t>
      </w:r>
      <w:r w:rsidR="00D86734">
        <w:rPr>
          <w:sz w:val="22"/>
          <w:szCs w:val="22"/>
          <w:lang w:val="el-GR"/>
        </w:rPr>
        <w:t>το γ</w:t>
      </w:r>
      <w:r w:rsidR="00AD44AB">
        <w:rPr>
          <w:sz w:val="22"/>
          <w:szCs w:val="22"/>
          <w:lang w:val="el-GR"/>
        </w:rPr>
        <w:t>΄</w:t>
      </w:r>
      <w:r w:rsidR="00B8467F">
        <w:rPr>
          <w:sz w:val="22"/>
          <w:szCs w:val="22"/>
          <w:lang w:val="el-GR"/>
        </w:rPr>
        <w:t xml:space="preserve"> τρίμηνο του 2025</w:t>
      </w:r>
      <w:r w:rsidR="00BF53AB">
        <w:rPr>
          <w:sz w:val="22"/>
          <w:szCs w:val="22"/>
          <w:lang w:val="el-GR"/>
        </w:rPr>
        <w:t>, η</w:t>
      </w:r>
      <w:r w:rsidR="007A773E">
        <w:rPr>
          <w:sz w:val="22"/>
          <w:szCs w:val="22"/>
          <w:lang w:val="el-GR"/>
        </w:rPr>
        <w:t xml:space="preserve"> ζήτηση</w:t>
      </w:r>
      <w:r w:rsidR="00715C8C">
        <w:rPr>
          <w:sz w:val="22"/>
          <w:szCs w:val="22"/>
          <w:lang w:val="el-GR"/>
        </w:rPr>
        <w:t xml:space="preserve"> </w:t>
      </w:r>
      <w:r w:rsidR="000F4200">
        <w:rPr>
          <w:sz w:val="22"/>
          <w:szCs w:val="22"/>
          <w:lang w:val="el-GR"/>
        </w:rPr>
        <w:t xml:space="preserve">για </w:t>
      </w:r>
      <w:r w:rsidR="003E2225">
        <w:rPr>
          <w:sz w:val="22"/>
          <w:szCs w:val="22"/>
          <w:lang w:val="el-GR"/>
        </w:rPr>
        <w:t>στεγαστικ</w:t>
      </w:r>
      <w:r w:rsidR="00715C8C">
        <w:rPr>
          <w:sz w:val="22"/>
          <w:szCs w:val="22"/>
          <w:lang w:val="el-GR"/>
        </w:rPr>
        <w:t>ά</w:t>
      </w:r>
      <w:r w:rsidR="003A2E0B">
        <w:rPr>
          <w:sz w:val="22"/>
          <w:szCs w:val="22"/>
          <w:lang w:val="el-GR"/>
        </w:rPr>
        <w:t xml:space="preserve"> </w:t>
      </w:r>
      <w:r w:rsidR="003E4E77">
        <w:rPr>
          <w:sz w:val="22"/>
          <w:szCs w:val="22"/>
          <w:lang w:val="el-GR"/>
        </w:rPr>
        <w:t>και</w:t>
      </w:r>
      <w:r w:rsidR="00B8467F">
        <w:rPr>
          <w:sz w:val="22"/>
          <w:szCs w:val="22"/>
          <w:lang w:val="el-GR"/>
        </w:rPr>
        <w:t xml:space="preserve"> </w:t>
      </w:r>
      <w:r w:rsidR="0072347B">
        <w:rPr>
          <w:sz w:val="22"/>
          <w:szCs w:val="22"/>
          <w:lang w:val="el-GR"/>
        </w:rPr>
        <w:t>για</w:t>
      </w:r>
      <w:r w:rsidR="00FF1DE2">
        <w:rPr>
          <w:sz w:val="22"/>
          <w:szCs w:val="22"/>
          <w:lang w:val="el-GR"/>
        </w:rPr>
        <w:t xml:space="preserve"> καταναλωτικά </w:t>
      </w:r>
      <w:r w:rsidR="00890DD7">
        <w:rPr>
          <w:sz w:val="22"/>
          <w:szCs w:val="22"/>
          <w:lang w:val="el-GR"/>
        </w:rPr>
        <w:t xml:space="preserve">δάνεια </w:t>
      </w:r>
      <w:r w:rsidR="000C4414">
        <w:rPr>
          <w:sz w:val="22"/>
          <w:szCs w:val="22"/>
          <w:lang w:val="el-GR"/>
        </w:rPr>
        <w:t xml:space="preserve">αναμένεται να </w:t>
      </w:r>
      <w:r w:rsidR="000560DB">
        <w:rPr>
          <w:sz w:val="22"/>
          <w:szCs w:val="22"/>
          <w:lang w:val="el-GR"/>
        </w:rPr>
        <w:t>παραμείνει</w:t>
      </w:r>
      <w:r w:rsidR="00FF1DE2">
        <w:rPr>
          <w:sz w:val="22"/>
          <w:szCs w:val="22"/>
          <w:lang w:val="el-GR"/>
        </w:rPr>
        <w:t xml:space="preserve"> </w:t>
      </w:r>
      <w:r w:rsidR="00F2150C">
        <w:rPr>
          <w:sz w:val="22"/>
          <w:szCs w:val="22"/>
          <w:lang w:val="el-GR"/>
        </w:rPr>
        <w:t>αμετάβλητη</w:t>
      </w:r>
      <w:r w:rsidR="00FF1DE2">
        <w:rPr>
          <w:sz w:val="22"/>
          <w:szCs w:val="22"/>
          <w:lang w:val="el-GR"/>
        </w:rPr>
        <w:t xml:space="preserve">. </w:t>
      </w:r>
    </w:p>
    <w:p w14:paraId="3ACA108F" w14:textId="5CD0EEF8" w:rsidR="0068536A" w:rsidRDefault="00D675ED" w:rsidP="00517B14">
      <w:pPr>
        <w:spacing w:before="120"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Κατά το </w:t>
      </w:r>
      <w:r w:rsidR="009D2C2D">
        <w:rPr>
          <w:sz w:val="22"/>
          <w:szCs w:val="22"/>
          <w:lang w:val="el-GR"/>
        </w:rPr>
        <w:t>β</w:t>
      </w:r>
      <w:r w:rsidR="00316318">
        <w:rPr>
          <w:sz w:val="22"/>
          <w:szCs w:val="22"/>
          <w:lang w:val="el-GR"/>
        </w:rPr>
        <w:t>΄ τρίμηνο του 2025</w:t>
      </w:r>
      <w:r w:rsidR="003F178F">
        <w:rPr>
          <w:sz w:val="22"/>
          <w:szCs w:val="22"/>
          <w:lang w:val="el-GR"/>
        </w:rPr>
        <w:t>, η</w:t>
      </w:r>
      <w:r w:rsidR="00517B14" w:rsidRPr="00517B14">
        <w:rPr>
          <w:sz w:val="22"/>
          <w:szCs w:val="22"/>
          <w:lang w:val="el-GR"/>
        </w:rPr>
        <w:t xml:space="preserve"> αναλογία των αιτήσεων για </w:t>
      </w:r>
      <w:r w:rsidR="00CD29DD">
        <w:rPr>
          <w:sz w:val="22"/>
          <w:szCs w:val="22"/>
          <w:lang w:val="el-GR"/>
        </w:rPr>
        <w:t>στεγαστικά</w:t>
      </w:r>
      <w:r w:rsidR="00517B14" w:rsidRPr="00517B14">
        <w:rPr>
          <w:sz w:val="22"/>
          <w:szCs w:val="22"/>
          <w:lang w:val="el-GR"/>
        </w:rPr>
        <w:t xml:space="preserve"> </w:t>
      </w:r>
      <w:r w:rsidR="00CD29DD">
        <w:rPr>
          <w:sz w:val="22"/>
          <w:szCs w:val="22"/>
          <w:lang w:val="el-GR"/>
        </w:rPr>
        <w:t xml:space="preserve">και καταναλωτικά δάνεια </w:t>
      </w:r>
      <w:r w:rsidR="00517B14" w:rsidRPr="00517B14">
        <w:rPr>
          <w:sz w:val="22"/>
          <w:szCs w:val="22"/>
          <w:lang w:val="el-GR"/>
        </w:rPr>
        <w:t xml:space="preserve">που </w:t>
      </w:r>
      <w:r w:rsidR="00B81F61">
        <w:rPr>
          <w:sz w:val="22"/>
          <w:szCs w:val="22"/>
          <w:lang w:val="el-GR"/>
        </w:rPr>
        <w:t xml:space="preserve">απορρίφθηκαν </w:t>
      </w:r>
      <w:r w:rsidR="00AB16D7">
        <w:rPr>
          <w:sz w:val="22"/>
          <w:szCs w:val="22"/>
          <w:lang w:val="el-GR"/>
        </w:rPr>
        <w:t>παρέμεινε</w:t>
      </w:r>
      <w:r w:rsidR="004109A7" w:rsidRPr="004109A7">
        <w:rPr>
          <w:sz w:val="22"/>
          <w:szCs w:val="22"/>
          <w:lang w:val="el-GR"/>
        </w:rPr>
        <w:t xml:space="preserve"> </w:t>
      </w:r>
      <w:r w:rsidR="004109A7">
        <w:rPr>
          <w:sz w:val="22"/>
          <w:szCs w:val="22"/>
          <w:lang w:val="el-GR"/>
        </w:rPr>
        <w:t>σχεδόν</w:t>
      </w:r>
      <w:r w:rsidR="000560DB">
        <w:rPr>
          <w:sz w:val="22"/>
          <w:szCs w:val="22"/>
          <w:lang w:val="el-GR"/>
        </w:rPr>
        <w:t xml:space="preserve"> </w:t>
      </w:r>
      <w:r w:rsidR="003C0F8C">
        <w:rPr>
          <w:sz w:val="22"/>
          <w:szCs w:val="22"/>
          <w:lang w:val="el-GR"/>
        </w:rPr>
        <w:t>αμετάβλητη</w:t>
      </w:r>
      <w:r w:rsidR="00CD29DD">
        <w:rPr>
          <w:sz w:val="22"/>
          <w:szCs w:val="22"/>
          <w:lang w:val="el-GR"/>
        </w:rPr>
        <w:t xml:space="preserve"> </w:t>
      </w:r>
      <w:r w:rsidR="00517B14" w:rsidRPr="00517B14">
        <w:rPr>
          <w:sz w:val="22"/>
          <w:szCs w:val="22"/>
          <w:lang w:val="el-GR"/>
        </w:rPr>
        <w:t>(βλ. Διάγραμμα 3).</w:t>
      </w:r>
    </w:p>
    <w:p w14:paraId="74EA0CEC" w14:textId="77777777" w:rsidR="00B76824" w:rsidRDefault="00B76824" w:rsidP="00517B14">
      <w:pPr>
        <w:spacing w:before="120" w:line="360" w:lineRule="auto"/>
        <w:jc w:val="both"/>
        <w:rPr>
          <w:sz w:val="22"/>
          <w:szCs w:val="22"/>
          <w:lang w:val="el-GR"/>
        </w:rPr>
      </w:pPr>
    </w:p>
    <w:p w14:paraId="51FEA4CE" w14:textId="48645AAC" w:rsidR="00236C11" w:rsidRDefault="00236C11" w:rsidP="00517B14">
      <w:pPr>
        <w:spacing w:before="120" w:line="360" w:lineRule="auto"/>
        <w:jc w:val="both"/>
        <w:rPr>
          <w:sz w:val="22"/>
          <w:szCs w:val="22"/>
          <w:lang w:val="el-GR"/>
        </w:rPr>
      </w:pPr>
    </w:p>
    <w:p w14:paraId="4CF763B5" w14:textId="461ECE82" w:rsidR="001B3C34" w:rsidRDefault="001B3C34" w:rsidP="00517B14">
      <w:pPr>
        <w:spacing w:before="120" w:line="360" w:lineRule="auto"/>
        <w:jc w:val="both"/>
        <w:rPr>
          <w:sz w:val="22"/>
          <w:szCs w:val="22"/>
          <w:lang w:val="el-GR"/>
        </w:rPr>
      </w:pPr>
    </w:p>
    <w:p w14:paraId="6561422E" w14:textId="1B30E44E" w:rsidR="001B3C34" w:rsidRPr="00B81F61" w:rsidRDefault="001B3C34" w:rsidP="00517B14">
      <w:pPr>
        <w:spacing w:before="120" w:line="360" w:lineRule="auto"/>
        <w:jc w:val="both"/>
        <w:rPr>
          <w:sz w:val="22"/>
          <w:szCs w:val="22"/>
          <w:lang w:val="el-GR"/>
        </w:rPr>
      </w:pPr>
    </w:p>
    <w:p w14:paraId="6AADF2A2" w14:textId="77777777" w:rsidR="00882DEB" w:rsidRDefault="00236C11" w:rsidP="00517B14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  <w:r>
        <w:rPr>
          <w:b/>
          <w:iCs/>
          <w:color w:val="002060"/>
          <w:sz w:val="22"/>
          <w:szCs w:val="22"/>
          <w:lang w:val="el-GR"/>
        </w:rPr>
        <w:t xml:space="preserve">  </w:t>
      </w:r>
    </w:p>
    <w:p w14:paraId="500397AA" w14:textId="77777777" w:rsidR="00882DEB" w:rsidRDefault="00882DEB" w:rsidP="00517B14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15C41CE2" w14:textId="77777777" w:rsidR="00882DEB" w:rsidRDefault="00882DEB" w:rsidP="00517B14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44721937" w14:textId="77777777" w:rsidR="00882DEB" w:rsidRDefault="00882DEB" w:rsidP="00517B14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2148F5E4" w14:textId="77777777" w:rsidR="00882DEB" w:rsidRDefault="00882DEB" w:rsidP="00517B14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7AD39F7B" w14:textId="77777777" w:rsidR="00882DEB" w:rsidRDefault="00882DEB" w:rsidP="00517B14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7E73C259" w14:textId="77777777" w:rsidR="00882DEB" w:rsidRDefault="00882DEB" w:rsidP="00517B14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31056268" w14:textId="08BAB9BA" w:rsidR="00517B14" w:rsidRDefault="00236C11" w:rsidP="00517B14">
      <w:pPr>
        <w:spacing w:line="360" w:lineRule="auto"/>
        <w:jc w:val="both"/>
        <w:rPr>
          <w:i/>
          <w:iCs/>
          <w:color w:val="002060"/>
          <w:sz w:val="22"/>
          <w:szCs w:val="22"/>
          <w:lang w:val="el-GR"/>
        </w:rPr>
      </w:pPr>
      <w:r>
        <w:rPr>
          <w:b/>
          <w:iCs/>
          <w:color w:val="002060"/>
          <w:sz w:val="22"/>
          <w:szCs w:val="22"/>
          <w:lang w:val="el-GR"/>
        </w:rPr>
        <w:lastRenderedPageBreak/>
        <w:t xml:space="preserve"> </w:t>
      </w:r>
      <w:r w:rsidR="00517B14" w:rsidRPr="00517B14">
        <w:rPr>
          <w:b/>
          <w:iCs/>
          <w:color w:val="002060"/>
          <w:sz w:val="22"/>
          <w:szCs w:val="22"/>
          <w:lang w:val="el-GR"/>
        </w:rPr>
        <w:t xml:space="preserve">Διάγραμμα 1 - Πιστοδοτικά Κριτήρια </w:t>
      </w:r>
      <w:r w:rsidR="00517B14" w:rsidRPr="00517B14">
        <w:rPr>
          <w:i/>
          <w:iCs/>
          <w:color w:val="002060"/>
          <w:sz w:val="22"/>
          <w:szCs w:val="22"/>
          <w:lang w:val="el-GR"/>
        </w:rPr>
        <w:t>(μέσος όρος)</w:t>
      </w:r>
    </w:p>
    <w:p w14:paraId="369CF504" w14:textId="097E6439" w:rsidR="0018352B" w:rsidRPr="00184218" w:rsidRDefault="000253FC" w:rsidP="00517B14">
      <w:pPr>
        <w:spacing w:line="360" w:lineRule="auto"/>
        <w:jc w:val="both"/>
        <w:rPr>
          <w:i/>
          <w:iCs/>
          <w:color w:val="002060"/>
          <w:sz w:val="22"/>
          <w:szCs w:val="22"/>
          <w:lang w:val="en-US"/>
        </w:rPr>
      </w:pPr>
      <w:r w:rsidRPr="0018352B">
        <w:rPr>
          <w:noProof/>
          <w:lang w:val="el-GR"/>
        </w:rPr>
        <w:t xml:space="preserve"> </w:t>
      </w:r>
      <w:r w:rsidR="004C2932">
        <w:rPr>
          <w:noProof/>
          <w:lang w:val="en-US" w:eastAsia="en-US"/>
        </w:rPr>
        <w:drawing>
          <wp:inline distT="0" distB="0" distL="0" distR="0" wp14:anchorId="5BA18F8B" wp14:editId="70B276A4">
            <wp:extent cx="4603115" cy="267017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86B6EF" w14:textId="44EB02F4" w:rsidR="00354212" w:rsidRPr="003A6DC2" w:rsidRDefault="00354212" w:rsidP="00EB0757">
      <w:pPr>
        <w:spacing w:line="360" w:lineRule="auto"/>
        <w:jc w:val="both"/>
        <w:rPr>
          <w:b/>
          <w:iCs/>
          <w:color w:val="002060"/>
          <w:sz w:val="22"/>
          <w:szCs w:val="22"/>
          <w:lang w:val="en-US"/>
        </w:rPr>
      </w:pPr>
    </w:p>
    <w:p w14:paraId="2715CDC5" w14:textId="77777777" w:rsidR="00354212" w:rsidRDefault="00354212" w:rsidP="00EB0757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3E554697" w14:textId="77777777" w:rsidR="00EB0757" w:rsidRPr="00EB0757" w:rsidRDefault="00EB0757" w:rsidP="00CC0BDF">
      <w:pPr>
        <w:keepNext/>
        <w:widowControl w:val="0"/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  <w:r w:rsidRPr="00EB0757">
        <w:rPr>
          <w:b/>
          <w:iCs/>
          <w:noProof/>
          <w:color w:val="00206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65CA2" wp14:editId="10CC6A74">
                <wp:simplePos x="0" y="0"/>
                <wp:positionH relativeFrom="column">
                  <wp:posOffset>-3916680</wp:posOffset>
                </wp:positionH>
                <wp:positionV relativeFrom="paragraph">
                  <wp:posOffset>41910</wp:posOffset>
                </wp:positionV>
                <wp:extent cx="2076450" cy="2190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1907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A002C" w14:textId="77777777" w:rsidR="00EB0757" w:rsidRDefault="00EB0757" w:rsidP="00EB07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97E6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χαλάρωση κριτηρίων</w:t>
                            </w:r>
                          </w:p>
                        </w:txbxContent>
                      </wps:txbx>
                      <wps:bodyPr vertOverflow="clip" wrap="square" lIns="27432" tIns="22860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65C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08.4pt;margin-top:3.3pt;width:163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" stroked="f">
                <v:fill opacity="0"/>
                <v:textbox inset="2.16pt,1.8pt,0,0">
                  <w:txbxContent>
                    <w:p w14:paraId="32FA002C" w14:textId="77777777" w:rsidR="00EB0757" w:rsidRDefault="00EB0757" w:rsidP="00EB0757">
                      <w:pPr>
                        <w:pStyle w:val="NormalWeb"/>
                        <w:spacing w:before="0" w:beforeAutospacing="0" w:after="0" w:afterAutospacing="0"/>
                      </w:pPr>
                      <w:r w:rsidRPr="00597E66">
                        <w:rPr>
                          <w:rFonts w:ascii="Calibri" w:hAnsi="Calibri"/>
                          <w:sz w:val="18"/>
                          <w:szCs w:val="18"/>
                        </w:rPr>
                        <w:t>χαλάρωση κριτηρίων</w:t>
                      </w:r>
                    </w:p>
                  </w:txbxContent>
                </v:textbox>
              </v:shape>
            </w:pict>
          </mc:Fallback>
        </mc:AlternateContent>
      </w:r>
      <w:r w:rsidRPr="00EB0757">
        <w:rPr>
          <w:b/>
          <w:iCs/>
          <w:noProof/>
          <w:color w:val="002060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C8F14" wp14:editId="1BA9A8D1">
                <wp:simplePos x="0" y="0"/>
                <wp:positionH relativeFrom="column">
                  <wp:posOffset>-3968115</wp:posOffset>
                </wp:positionH>
                <wp:positionV relativeFrom="paragraph">
                  <wp:posOffset>45085</wp:posOffset>
                </wp:positionV>
                <wp:extent cx="1943100" cy="1524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5240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8EB29" w14:textId="77777777" w:rsidR="00EB0757" w:rsidRDefault="00EB0757" w:rsidP="00EB07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 w:rsidRPr="00597E6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αυστηροποίηση</w:t>
                            </w:r>
                            <w:proofErr w:type="spellEnd"/>
                            <w:r w:rsidRPr="00597E66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κριτηρίων</w:t>
                            </w:r>
                          </w:p>
                        </w:txbxContent>
                      </wps:txbx>
                      <wps:bodyPr vertOverflow="clip" wrap="square" lIns="27432" tIns="22860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C8F14" id="Text Box 7" o:spid="_x0000_s1027" type="#_x0000_t202" style="position:absolute;left:0;text-align:left;margin-left:-312.45pt;margin-top:3.55pt;width:153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" stroked="f">
                <v:fill opacity="0"/>
                <v:textbox inset="2.16pt,1.8pt,0,0">
                  <w:txbxContent>
                    <w:p w14:paraId="6B18EB29" w14:textId="77777777" w:rsidR="00EB0757" w:rsidRDefault="00EB0757" w:rsidP="00EB0757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r w:rsidRPr="00597E66">
                        <w:rPr>
                          <w:rFonts w:ascii="Calibri" w:hAnsi="Calibri"/>
                          <w:sz w:val="18"/>
                          <w:szCs w:val="18"/>
                        </w:rPr>
                        <w:t>αυστηροποίηση</w:t>
                      </w:r>
                      <w:proofErr w:type="spellEnd"/>
                      <w:r w:rsidRPr="00597E66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κριτηρίων</w:t>
                      </w:r>
                    </w:p>
                  </w:txbxContent>
                </v:textbox>
              </v:shape>
            </w:pict>
          </mc:Fallback>
        </mc:AlternateContent>
      </w:r>
      <w:r w:rsidR="00236C11">
        <w:rPr>
          <w:b/>
          <w:iCs/>
          <w:color w:val="002060"/>
          <w:sz w:val="22"/>
          <w:szCs w:val="22"/>
          <w:lang w:val="el-GR"/>
        </w:rPr>
        <w:t xml:space="preserve">    </w:t>
      </w:r>
      <w:r w:rsidRPr="00EB0757">
        <w:rPr>
          <w:b/>
          <w:iCs/>
          <w:color w:val="002060"/>
          <w:sz w:val="22"/>
          <w:szCs w:val="22"/>
          <w:lang w:val="el-GR"/>
        </w:rPr>
        <w:t xml:space="preserve">Διάγραμμα 2 - Ζήτηση </w:t>
      </w:r>
      <w:r w:rsidRPr="00EB0757">
        <w:rPr>
          <w:i/>
          <w:iCs/>
          <w:color w:val="002060"/>
          <w:sz w:val="22"/>
          <w:szCs w:val="22"/>
          <w:lang w:val="el-GR"/>
        </w:rPr>
        <w:t>(μέσος όρος)</w:t>
      </w:r>
    </w:p>
    <w:p w14:paraId="6881E2D9" w14:textId="71C87F67" w:rsidR="00EB0757" w:rsidRPr="000253FC" w:rsidRDefault="000253FC" w:rsidP="00CC0BDF">
      <w:pPr>
        <w:keepNext/>
        <w:widowControl w:val="0"/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  <w:r w:rsidRPr="0018352B">
        <w:rPr>
          <w:noProof/>
          <w:lang w:val="el-GR"/>
        </w:rPr>
        <w:t xml:space="preserve"> </w:t>
      </w:r>
      <w:r w:rsidR="004C2932">
        <w:rPr>
          <w:noProof/>
          <w:lang w:val="en-US" w:eastAsia="en-US"/>
        </w:rPr>
        <w:drawing>
          <wp:inline distT="0" distB="0" distL="0" distR="0" wp14:anchorId="4177EA2B" wp14:editId="66695400">
            <wp:extent cx="4584700" cy="265176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E8906C" w14:textId="77777777" w:rsidR="00236C11" w:rsidRDefault="00236C11" w:rsidP="00517B14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16A3F2A2" w14:textId="77777777" w:rsidR="001B3C34" w:rsidRDefault="00236C11" w:rsidP="00517B14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  <w:r>
        <w:rPr>
          <w:b/>
          <w:iCs/>
          <w:color w:val="002060"/>
          <w:sz w:val="22"/>
          <w:szCs w:val="22"/>
          <w:lang w:val="el-GR"/>
        </w:rPr>
        <w:t xml:space="preserve">  </w:t>
      </w:r>
    </w:p>
    <w:p w14:paraId="735C1275" w14:textId="77777777" w:rsidR="001B3C34" w:rsidRDefault="001B3C34" w:rsidP="00517B14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1DA89FAE" w14:textId="77777777" w:rsidR="001B3C34" w:rsidRDefault="001B3C34" w:rsidP="00517B14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016902EB" w14:textId="77777777" w:rsidR="001B3C34" w:rsidRDefault="001B3C34" w:rsidP="00517B14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17DD0637" w14:textId="77777777" w:rsidR="001B3C34" w:rsidRDefault="001B3C34" w:rsidP="00517B14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43FE11CA" w14:textId="77777777" w:rsidR="001B3C34" w:rsidRDefault="001B3C34" w:rsidP="00517B14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05CEAAFF" w14:textId="77777777" w:rsidR="001B3C34" w:rsidRDefault="001B3C34" w:rsidP="00517B14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5337812C" w14:textId="77777777" w:rsidR="001B3C34" w:rsidRDefault="001B3C34" w:rsidP="00517B14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7755A228" w14:textId="77777777" w:rsidR="001B3C34" w:rsidRDefault="001B3C34" w:rsidP="00517B14">
      <w:pPr>
        <w:spacing w:line="360" w:lineRule="auto"/>
        <w:jc w:val="both"/>
        <w:rPr>
          <w:b/>
          <w:iCs/>
          <w:color w:val="002060"/>
          <w:sz w:val="22"/>
          <w:szCs w:val="22"/>
          <w:lang w:val="el-GR"/>
        </w:rPr>
      </w:pPr>
    </w:p>
    <w:p w14:paraId="7FF76742" w14:textId="753E6FD8" w:rsidR="00EB0757" w:rsidRPr="000253FC" w:rsidRDefault="00EB0757" w:rsidP="00517B14">
      <w:pPr>
        <w:spacing w:line="360" w:lineRule="auto"/>
        <w:jc w:val="both"/>
        <w:rPr>
          <w:i/>
          <w:iCs/>
          <w:color w:val="002060"/>
          <w:sz w:val="22"/>
          <w:szCs w:val="22"/>
          <w:lang w:val="el-GR"/>
        </w:rPr>
      </w:pPr>
      <w:r w:rsidRPr="00EB0757">
        <w:rPr>
          <w:b/>
          <w:iCs/>
          <w:color w:val="002060"/>
          <w:sz w:val="22"/>
          <w:szCs w:val="22"/>
          <w:lang w:val="el-GR"/>
        </w:rPr>
        <w:lastRenderedPageBreak/>
        <w:t xml:space="preserve">Διάγραμμα 3 - Αναλογία αιτήσεων που απορρίφθηκαν </w:t>
      </w:r>
      <w:r w:rsidRPr="00EB0757">
        <w:rPr>
          <w:i/>
          <w:iCs/>
          <w:color w:val="002060"/>
          <w:sz w:val="22"/>
          <w:szCs w:val="22"/>
          <w:lang w:val="el-GR"/>
        </w:rPr>
        <w:t>(μέσος όρος)</w:t>
      </w:r>
    </w:p>
    <w:p w14:paraId="5141473C" w14:textId="20003784" w:rsidR="000253FC" w:rsidRPr="00273D8E" w:rsidRDefault="004C2932" w:rsidP="00517B14">
      <w:pPr>
        <w:spacing w:line="360" w:lineRule="auto"/>
        <w:jc w:val="both"/>
        <w:rPr>
          <w:iCs/>
          <w:color w:val="002060"/>
          <w:sz w:val="22"/>
          <w:szCs w:val="22"/>
          <w:lang w:val="el-GR"/>
        </w:rPr>
      </w:pPr>
      <w:r>
        <w:rPr>
          <w:iCs/>
          <w:noProof/>
          <w:color w:val="002060"/>
          <w:sz w:val="22"/>
          <w:szCs w:val="22"/>
          <w:lang w:val="en-US" w:eastAsia="en-US"/>
        </w:rPr>
        <w:drawing>
          <wp:inline distT="0" distB="0" distL="0" distR="0" wp14:anchorId="03A0EA05" wp14:editId="63E98C33">
            <wp:extent cx="4946754" cy="2645835"/>
            <wp:effectExtent l="0" t="0" r="635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672" cy="265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E38199" w14:textId="77777777" w:rsidR="00F434BF" w:rsidRDefault="00F5007A" w:rsidP="00614A99">
      <w:pPr>
        <w:spacing w:before="240" w:line="360" w:lineRule="auto"/>
        <w:jc w:val="both"/>
        <w:rPr>
          <w:sz w:val="22"/>
          <w:szCs w:val="22"/>
          <w:lang w:val="el-GR"/>
        </w:rPr>
      </w:pPr>
      <w:r>
        <w:rPr>
          <w:b/>
          <w:sz w:val="22"/>
          <w:szCs w:val="22"/>
          <w:u w:val="single"/>
          <w:lang w:val="el-GR"/>
        </w:rPr>
        <w:t>Περισσότερες πληροφορίες</w:t>
      </w:r>
      <w:r w:rsidR="00184CB0" w:rsidRPr="00C44AA2">
        <w:rPr>
          <w:sz w:val="22"/>
          <w:szCs w:val="22"/>
          <w:lang w:val="el-GR"/>
        </w:rPr>
        <w:t>:</w:t>
      </w:r>
    </w:p>
    <w:p w14:paraId="2619A2E3" w14:textId="6EA74554" w:rsidR="00A62E20" w:rsidRPr="00A62E20" w:rsidRDefault="00A62E20" w:rsidP="00A62E20">
      <w:pPr>
        <w:spacing w:before="240" w:line="360" w:lineRule="auto"/>
        <w:jc w:val="both"/>
        <w:rPr>
          <w:sz w:val="22"/>
          <w:szCs w:val="22"/>
          <w:lang w:val="el-GR"/>
        </w:rPr>
      </w:pPr>
      <w:r w:rsidRPr="00A62E20">
        <w:rPr>
          <w:sz w:val="22"/>
          <w:szCs w:val="22"/>
          <w:lang w:val="el-GR"/>
        </w:rPr>
        <w:t xml:space="preserve">Το επόμενο Δελτίο Τύπου για την «Έρευνα Τραπεζικών Χορηγήσεων» με στοιχεία του </w:t>
      </w:r>
      <w:r w:rsidR="004C2932">
        <w:rPr>
          <w:sz w:val="22"/>
          <w:szCs w:val="22"/>
          <w:lang w:val="el-GR"/>
        </w:rPr>
        <w:t>γ</w:t>
      </w:r>
      <w:r w:rsidRPr="00A62E20">
        <w:rPr>
          <w:sz w:val="22"/>
          <w:szCs w:val="22"/>
          <w:lang w:val="el-GR"/>
        </w:rPr>
        <w:t>’ τριμήνου</w:t>
      </w:r>
      <w:r>
        <w:rPr>
          <w:sz w:val="22"/>
          <w:szCs w:val="22"/>
          <w:lang w:val="el-GR"/>
        </w:rPr>
        <w:t xml:space="preserve"> του 2025</w:t>
      </w:r>
      <w:r w:rsidRPr="00A62E20">
        <w:rPr>
          <w:sz w:val="22"/>
          <w:szCs w:val="22"/>
          <w:lang w:val="el-GR"/>
        </w:rPr>
        <w:t xml:space="preserve"> θα δημοσιευθεί στις </w:t>
      </w:r>
      <w:r w:rsidR="004C2932">
        <w:rPr>
          <w:sz w:val="22"/>
          <w:szCs w:val="22"/>
          <w:lang w:val="el-GR"/>
        </w:rPr>
        <w:t>29</w:t>
      </w:r>
      <w:r w:rsidR="00E42FB4">
        <w:rPr>
          <w:sz w:val="22"/>
          <w:szCs w:val="22"/>
          <w:lang w:val="el-GR"/>
        </w:rPr>
        <w:t xml:space="preserve"> </w:t>
      </w:r>
      <w:r w:rsidR="004C2932">
        <w:rPr>
          <w:sz w:val="22"/>
          <w:szCs w:val="22"/>
          <w:lang w:val="el-GR"/>
        </w:rPr>
        <w:t>Οκτωβρ</w:t>
      </w:r>
      <w:r w:rsidRPr="00A62E20">
        <w:rPr>
          <w:sz w:val="22"/>
          <w:szCs w:val="22"/>
          <w:lang w:val="el-GR"/>
        </w:rPr>
        <w:t>ίου</w:t>
      </w:r>
      <w:r>
        <w:rPr>
          <w:sz w:val="22"/>
          <w:szCs w:val="22"/>
          <w:lang w:val="el-GR"/>
        </w:rPr>
        <w:t xml:space="preserve"> 2025</w:t>
      </w:r>
      <w:r w:rsidRPr="00A62E20">
        <w:rPr>
          <w:sz w:val="22"/>
          <w:szCs w:val="22"/>
          <w:lang w:val="el-GR"/>
        </w:rPr>
        <w:t xml:space="preserve">, σύμφωνα με το </w:t>
      </w:r>
      <w:hyperlink r:id="rId12" w:history="1">
        <w:r w:rsidRPr="00A62E20">
          <w:rPr>
            <w:rStyle w:val="Hyperlink"/>
            <w:sz w:val="22"/>
            <w:szCs w:val="22"/>
            <w:lang w:val="el-GR"/>
          </w:rPr>
          <w:t>Ημερολ</w:t>
        </w:r>
        <w:r w:rsidRPr="00A62E20">
          <w:rPr>
            <w:rStyle w:val="Hyperlink"/>
            <w:sz w:val="22"/>
            <w:szCs w:val="22"/>
            <w:lang w:val="el-GR"/>
          </w:rPr>
          <w:t>ό</w:t>
        </w:r>
        <w:r w:rsidRPr="00A62E20">
          <w:rPr>
            <w:rStyle w:val="Hyperlink"/>
            <w:sz w:val="22"/>
            <w:szCs w:val="22"/>
            <w:lang w:val="el-GR"/>
          </w:rPr>
          <w:t>γ</w:t>
        </w:r>
        <w:r w:rsidRPr="00A62E20">
          <w:rPr>
            <w:rStyle w:val="Hyperlink"/>
            <w:sz w:val="22"/>
            <w:szCs w:val="22"/>
            <w:lang w:val="el-GR"/>
          </w:rPr>
          <w:t>ι</w:t>
        </w:r>
        <w:r w:rsidRPr="00A62E20">
          <w:rPr>
            <w:rStyle w:val="Hyperlink"/>
            <w:sz w:val="22"/>
            <w:szCs w:val="22"/>
            <w:lang w:val="el-GR"/>
          </w:rPr>
          <w:t>ο δημοσίευσης</w:t>
        </w:r>
      </w:hyperlink>
      <w:r w:rsidRPr="00A62E20">
        <w:rPr>
          <w:sz w:val="22"/>
          <w:szCs w:val="22"/>
          <w:lang w:val="el-GR"/>
        </w:rPr>
        <w:t xml:space="preserve"> των στοιχείων που έχει αναρτηθεί στον </w:t>
      </w:r>
      <w:proofErr w:type="spellStart"/>
      <w:r w:rsidRPr="00A62E20">
        <w:rPr>
          <w:sz w:val="22"/>
          <w:szCs w:val="22"/>
          <w:lang w:val="el-GR"/>
        </w:rPr>
        <w:t>ιστοχώρο</w:t>
      </w:r>
      <w:proofErr w:type="spellEnd"/>
      <w:r w:rsidRPr="00A62E20">
        <w:rPr>
          <w:sz w:val="22"/>
          <w:szCs w:val="22"/>
          <w:lang w:val="el-GR"/>
        </w:rPr>
        <w:t xml:space="preserve"> της Τράπεζας της Ελλάδος.</w:t>
      </w:r>
    </w:p>
    <w:p w14:paraId="47463B43" w14:textId="577D75C5" w:rsidR="00F434BF" w:rsidRPr="00755A8E" w:rsidRDefault="00755A8E" w:rsidP="00755A8E">
      <w:pPr>
        <w:spacing w:before="240" w:line="360" w:lineRule="auto"/>
        <w:jc w:val="both"/>
        <w:rPr>
          <w:sz w:val="22"/>
          <w:szCs w:val="22"/>
          <w:lang w:val="el-GR"/>
        </w:rPr>
      </w:pPr>
      <w:r>
        <w:rPr>
          <w:b/>
          <w:sz w:val="22"/>
          <w:szCs w:val="22"/>
          <w:u w:val="single"/>
          <w:lang w:val="el-GR"/>
        </w:rPr>
        <w:t>Σχετικοί σύνδεσμοι</w:t>
      </w:r>
      <w:r w:rsidRPr="0097783A">
        <w:rPr>
          <w:sz w:val="22"/>
          <w:szCs w:val="22"/>
          <w:lang w:val="el-GR"/>
        </w:rPr>
        <w:t>:</w:t>
      </w:r>
    </w:p>
    <w:p w14:paraId="4EF49857" w14:textId="77777777" w:rsidR="00755A8E" w:rsidRPr="00BB69F3" w:rsidRDefault="00BD21D2" w:rsidP="00755A8E">
      <w:pPr>
        <w:jc w:val="both"/>
        <w:rPr>
          <w:rStyle w:val="Hyperlink"/>
          <w:color w:val="002060"/>
          <w:sz w:val="22"/>
          <w:szCs w:val="22"/>
          <w:lang w:val="el-GR"/>
        </w:rPr>
      </w:pPr>
      <w:hyperlink r:id="rId13" w:tooltip="Πληροφοίες σχετικά με την Ερευνα Τραπεζικων Χορηγήσεων" w:history="1">
        <w:r>
          <w:rPr>
            <w:rStyle w:val="Hyperlink"/>
            <w:color w:val="002060"/>
            <w:sz w:val="22"/>
            <w:szCs w:val="22"/>
            <w:lang w:val="el-GR"/>
          </w:rPr>
          <w:t>Περισσότερα στοιχεία για την Έρ</w:t>
        </w:r>
        <w:r>
          <w:rPr>
            <w:rStyle w:val="Hyperlink"/>
            <w:color w:val="002060"/>
            <w:sz w:val="22"/>
            <w:szCs w:val="22"/>
            <w:lang w:val="el-GR"/>
          </w:rPr>
          <w:t>ε</w:t>
        </w:r>
        <w:r>
          <w:rPr>
            <w:rStyle w:val="Hyperlink"/>
            <w:color w:val="002060"/>
            <w:sz w:val="22"/>
            <w:szCs w:val="22"/>
            <w:lang w:val="el-GR"/>
          </w:rPr>
          <w:t>υνα Τραπεζικών Χορηγήσεων</w:t>
        </w:r>
      </w:hyperlink>
    </w:p>
    <w:p w14:paraId="18852E08" w14:textId="77777777" w:rsidR="00755A8E" w:rsidRPr="00BB69F3" w:rsidRDefault="00755A8E" w:rsidP="00755A8E">
      <w:pPr>
        <w:jc w:val="both"/>
        <w:rPr>
          <w:rStyle w:val="Hyperlink"/>
          <w:color w:val="002060"/>
          <w:sz w:val="22"/>
          <w:szCs w:val="22"/>
          <w:lang w:val="el-GR"/>
        </w:rPr>
      </w:pPr>
    </w:p>
    <w:p w14:paraId="48439603" w14:textId="77777777" w:rsidR="00F5007A" w:rsidRPr="001212DA" w:rsidRDefault="00BB69F3" w:rsidP="001212DA">
      <w:pPr>
        <w:jc w:val="both"/>
        <w:rPr>
          <w:color w:val="002060"/>
          <w:sz w:val="22"/>
          <w:szCs w:val="22"/>
          <w:u w:val="single"/>
          <w:lang w:val="el-GR"/>
        </w:rPr>
      </w:pPr>
      <w:hyperlink r:id="rId14" w:history="1">
        <w:r w:rsidRPr="00BB69F3">
          <w:rPr>
            <w:rStyle w:val="Hyperlink"/>
            <w:color w:val="002060"/>
            <w:sz w:val="22"/>
            <w:szCs w:val="22"/>
            <w:lang w:val="el-GR"/>
          </w:rPr>
          <w:t>Μεθοδο</w:t>
        </w:r>
        <w:r w:rsidRPr="00BB69F3">
          <w:rPr>
            <w:rStyle w:val="Hyperlink"/>
            <w:color w:val="002060"/>
            <w:sz w:val="22"/>
            <w:szCs w:val="22"/>
            <w:lang w:val="el-GR"/>
          </w:rPr>
          <w:t>λ</w:t>
        </w:r>
        <w:r w:rsidRPr="00BB69F3">
          <w:rPr>
            <w:rStyle w:val="Hyperlink"/>
            <w:color w:val="002060"/>
            <w:sz w:val="22"/>
            <w:szCs w:val="22"/>
            <w:lang w:val="el-GR"/>
          </w:rPr>
          <w:t>ογία</w:t>
        </w:r>
      </w:hyperlink>
      <w:r w:rsidRPr="00BB69F3">
        <w:rPr>
          <w:rStyle w:val="Hyperlink"/>
          <w:color w:val="002060"/>
          <w:sz w:val="22"/>
          <w:szCs w:val="22"/>
          <w:lang w:val="el-GR"/>
        </w:rPr>
        <w:t xml:space="preserve"> </w:t>
      </w:r>
    </w:p>
    <w:sectPr w:rsidR="00F5007A" w:rsidRPr="001212DA" w:rsidSect="00995899">
      <w:headerReference w:type="default" r:id="rId15"/>
      <w:footerReference w:type="default" r:id="rId16"/>
      <w:footerReference w:type="first" r:id="rId17"/>
      <w:pgSz w:w="11906" w:h="16838"/>
      <w:pgMar w:top="1276" w:right="1418" w:bottom="1276" w:left="1418" w:header="720" w:footer="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6DBB9" w14:textId="77777777" w:rsidR="007100A0" w:rsidRDefault="007100A0">
      <w:r>
        <w:separator/>
      </w:r>
    </w:p>
  </w:endnote>
  <w:endnote w:type="continuationSeparator" w:id="0">
    <w:p w14:paraId="2CACFC1D" w14:textId="77777777" w:rsidR="007100A0" w:rsidRDefault="0071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203F4" w14:textId="77777777" w:rsidR="00906441" w:rsidRDefault="00614A99" w:rsidP="006F37D0">
    <w:pPr>
      <w:tabs>
        <w:tab w:val="left" w:pos="2288"/>
      </w:tabs>
      <w:spacing w:line="360" w:lineRule="auto"/>
      <w:ind w:right="360"/>
      <w:rPr>
        <w:sz w:val="14"/>
        <w:lang w:val="el-GR"/>
      </w:rPr>
    </w:pPr>
    <w:r>
      <w:rPr>
        <w:sz w:val="20"/>
      </w:rPr>
      <w:tab/>
    </w:r>
  </w:p>
  <w:p w14:paraId="28AE6DA0" w14:textId="77777777" w:rsidR="00766A4F" w:rsidRPr="00614A99" w:rsidRDefault="00766A4F" w:rsidP="00766A4F">
    <w:pPr>
      <w:pStyle w:val="Footer"/>
      <w:framePr w:wrap="auto" w:vAnchor="text" w:hAnchor="page" w:x="10807" w:y="301"/>
      <w:rPr>
        <w:rFonts w:ascii="Arial" w:hAnsi="Arial" w:cs="Arial"/>
      </w:rPr>
    </w:pPr>
  </w:p>
  <w:tbl>
    <w:tblPr>
      <w:tblW w:w="9498" w:type="dxa"/>
      <w:tblInd w:w="108" w:type="dxa"/>
      <w:tblBorders>
        <w:left w:val="single" w:sz="48" w:space="0" w:color="DEA400"/>
      </w:tblBorders>
      <w:tblLook w:val="0000" w:firstRow="0" w:lastRow="0" w:firstColumn="0" w:lastColumn="0" w:noHBand="0" w:noVBand="0"/>
    </w:tblPr>
    <w:tblGrid>
      <w:gridCol w:w="4917"/>
      <w:gridCol w:w="4581"/>
    </w:tblGrid>
    <w:tr w:rsidR="00766A4F" w:rsidRPr="00766A4F" w14:paraId="78C1C589" w14:textId="77777777" w:rsidTr="00F26854">
      <w:tc>
        <w:tcPr>
          <w:tcW w:w="4917" w:type="dxa"/>
          <w:tcBorders>
            <w:left w:val="single" w:sz="48" w:space="0" w:color="BC9E6E"/>
          </w:tcBorders>
          <w:shd w:val="clear" w:color="auto" w:fill="auto"/>
        </w:tcPr>
        <w:p w14:paraId="46B05FA0" w14:textId="77777777" w:rsidR="006B5E1E" w:rsidRDefault="006B5E1E" w:rsidP="001E6951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r w:rsidRPr="00766A4F">
            <w:rPr>
              <w:rFonts w:ascii="Arial" w:hAnsi="Arial" w:cs="Arial"/>
              <w:sz w:val="14"/>
              <w:lang w:val="el-GR"/>
            </w:rPr>
            <w:t>Ελ. Βενιζέλου 21, Αθήνα 10250</w:t>
          </w:r>
        </w:p>
        <w:p w14:paraId="7751686B" w14:textId="77777777" w:rsidR="006B5E1E" w:rsidRDefault="006B5E1E" w:rsidP="001E6951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proofErr w:type="spellStart"/>
          <w:r w:rsidRPr="00766A4F">
            <w:rPr>
              <w:rFonts w:ascii="Arial" w:hAnsi="Arial" w:cs="Arial"/>
              <w:sz w:val="14"/>
              <w:lang w:val="el-GR"/>
            </w:rPr>
            <w:t>Τηλ</w:t>
          </w:r>
          <w:proofErr w:type="spellEnd"/>
          <w:r w:rsidR="00C25ACA" w:rsidRPr="00517B14">
            <w:rPr>
              <w:rFonts w:ascii="Arial" w:hAnsi="Arial" w:cs="Arial"/>
              <w:sz w:val="14"/>
              <w:lang w:val="el-GR"/>
            </w:rPr>
            <w:t>:</w:t>
          </w:r>
          <w:r w:rsidRPr="005B1F16">
            <w:rPr>
              <w:rFonts w:ascii="Arial" w:hAnsi="Arial" w:cs="Arial"/>
              <w:sz w:val="14"/>
              <w:lang w:val="el-GR"/>
            </w:rPr>
            <w:t xml:space="preserve"> 210</w:t>
          </w:r>
          <w:r>
            <w:rPr>
              <w:rFonts w:ascii="Arial" w:hAnsi="Arial" w:cs="Arial"/>
              <w:sz w:val="14"/>
              <w:lang w:val="el-GR"/>
            </w:rPr>
            <w:t xml:space="preserve"> </w:t>
          </w:r>
          <w:r w:rsidRPr="005B1F16">
            <w:rPr>
              <w:rFonts w:ascii="Arial" w:hAnsi="Arial" w:cs="Arial"/>
              <w:sz w:val="14"/>
              <w:lang w:val="el-GR"/>
            </w:rPr>
            <w:t>320</w:t>
          </w:r>
          <w:r>
            <w:rPr>
              <w:rFonts w:ascii="Arial" w:hAnsi="Arial" w:cs="Arial"/>
              <w:sz w:val="14"/>
              <w:lang w:val="el-GR"/>
            </w:rPr>
            <w:t xml:space="preserve"> </w:t>
          </w:r>
          <w:r w:rsidRPr="005B1F16">
            <w:rPr>
              <w:rFonts w:ascii="Arial" w:hAnsi="Arial" w:cs="Arial"/>
              <w:sz w:val="14"/>
              <w:lang w:val="el-GR"/>
            </w:rPr>
            <w:t>3446-8</w:t>
          </w:r>
        </w:p>
        <w:p w14:paraId="091FD546" w14:textId="77777777" w:rsidR="00766A4F" w:rsidRDefault="00184CB0" w:rsidP="006B5E1E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hyperlink r:id="rId1" w:history="1"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press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@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bankofgreece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gr</w:t>
            </w:r>
          </w:hyperlink>
          <w:r w:rsidR="006B5E1E">
            <w:rPr>
              <w:rFonts w:ascii="Arial" w:hAnsi="Arial" w:cs="Arial"/>
              <w:sz w:val="14"/>
              <w:lang w:val="el-GR"/>
            </w:rPr>
            <w:t xml:space="preserve"> | </w:t>
          </w:r>
          <w:r w:rsidRPr="006B5E1E">
            <w:rPr>
              <w:rFonts w:ascii="Arial" w:hAnsi="Arial" w:cs="Arial"/>
              <w:sz w:val="14"/>
              <w:lang w:val="el-GR"/>
            </w:rPr>
            <w:t xml:space="preserve"> </w:t>
          </w:r>
          <w:hyperlink r:id="rId2" w:history="1"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www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bankofgreece</w:t>
            </w:r>
            <w:r w:rsidRPr="006B5E1E"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 w:rsidRPr="00E06524">
              <w:rPr>
                <w:rStyle w:val="Hyperlink"/>
                <w:rFonts w:ascii="Arial" w:hAnsi="Arial" w:cs="Arial"/>
                <w:sz w:val="14"/>
                <w:lang w:val="en-US"/>
              </w:rPr>
              <w:t>gr</w:t>
            </w:r>
          </w:hyperlink>
          <w:r w:rsidRPr="006B5E1E">
            <w:rPr>
              <w:rFonts w:ascii="Arial" w:hAnsi="Arial" w:cs="Arial"/>
              <w:sz w:val="14"/>
              <w:lang w:val="el-GR"/>
            </w:rPr>
            <w:t xml:space="preserve"> </w:t>
          </w:r>
        </w:p>
      </w:tc>
      <w:tc>
        <w:tcPr>
          <w:tcW w:w="4581" w:type="dxa"/>
          <w:shd w:val="clear" w:color="auto" w:fill="auto"/>
        </w:tcPr>
        <w:p w14:paraId="25459069" w14:textId="087978A6" w:rsidR="00766A4F" w:rsidRPr="00184CB0" w:rsidRDefault="00766A4F" w:rsidP="00766A4F">
          <w:pPr>
            <w:pStyle w:val="Footer"/>
            <w:tabs>
              <w:tab w:val="left" w:pos="5220"/>
            </w:tabs>
            <w:spacing w:before="60" w:after="60"/>
            <w:jc w:val="right"/>
            <w:rPr>
              <w:rFonts w:ascii="Arial" w:hAnsi="Arial" w:cs="Arial"/>
              <w:color w:val="auto"/>
              <w:sz w:val="14"/>
              <w:lang w:val="el-GR"/>
            </w:rPr>
          </w:pPr>
          <w:r w:rsidRPr="006F37D0">
            <w:rPr>
              <w:rFonts w:ascii="Arial" w:hAnsi="Arial" w:cs="Arial"/>
              <w:color w:val="auto"/>
              <w:sz w:val="18"/>
              <w:lang w:val="en-US"/>
            </w:rPr>
            <w:fldChar w:fldCharType="begin"/>
          </w:r>
          <w:r w:rsidRPr="006F37D0">
            <w:rPr>
              <w:rFonts w:ascii="Arial" w:hAnsi="Arial" w:cs="Arial"/>
              <w:color w:val="auto"/>
              <w:sz w:val="18"/>
              <w:lang w:val="en-US"/>
            </w:rPr>
            <w:instrText xml:space="preserve"> PAGE   \* MERGEFORMAT </w:instrText>
          </w:r>
          <w:r w:rsidRPr="006F37D0">
            <w:rPr>
              <w:rFonts w:ascii="Arial" w:hAnsi="Arial" w:cs="Arial"/>
              <w:color w:val="auto"/>
              <w:sz w:val="18"/>
              <w:lang w:val="en-US"/>
            </w:rPr>
            <w:fldChar w:fldCharType="separate"/>
          </w:r>
          <w:r w:rsidR="00167FB4">
            <w:rPr>
              <w:rFonts w:ascii="Arial" w:hAnsi="Arial" w:cs="Arial"/>
              <w:noProof/>
              <w:color w:val="auto"/>
              <w:sz w:val="18"/>
              <w:lang w:val="en-US"/>
            </w:rPr>
            <w:t>2</w:t>
          </w:r>
          <w:r w:rsidRPr="006F37D0">
            <w:rPr>
              <w:rFonts w:ascii="Arial" w:hAnsi="Arial" w:cs="Arial"/>
              <w:noProof/>
              <w:color w:val="auto"/>
              <w:sz w:val="18"/>
              <w:lang w:val="en-US"/>
            </w:rPr>
            <w:fldChar w:fldCharType="end"/>
          </w:r>
          <w:r w:rsidR="00184CB0">
            <w:rPr>
              <w:rFonts w:ascii="Arial" w:hAnsi="Arial" w:cs="Arial"/>
              <w:noProof/>
              <w:color w:val="auto"/>
              <w:sz w:val="18"/>
              <w:lang w:val="el-GR"/>
            </w:rPr>
            <w:t xml:space="preserve"> </w:t>
          </w:r>
          <w:r w:rsidR="00184CB0" w:rsidRPr="00D929F5">
            <w:rPr>
              <w:rFonts w:ascii="Arial Black" w:hAnsi="Arial Black" w:cs="Arial"/>
              <w:b/>
              <w:noProof/>
              <w:color w:val="948A54"/>
              <w:sz w:val="22"/>
              <w:lang w:val="el-GR"/>
            </w:rPr>
            <w:t>|</w:t>
          </w:r>
        </w:p>
      </w:tc>
    </w:tr>
  </w:tbl>
  <w:p w14:paraId="3CC41E38" w14:textId="77777777" w:rsidR="00906441" w:rsidRDefault="00906441" w:rsidP="006F37D0">
    <w:pPr>
      <w:pStyle w:val="Footer"/>
      <w:ind w:right="360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6D197" w14:textId="77777777" w:rsidR="00906441" w:rsidRDefault="00906441">
    <w:pPr>
      <w:pStyle w:val="Footer"/>
      <w:rPr>
        <w:sz w:val="20"/>
        <w:lang w:val="de-DE"/>
      </w:rPr>
    </w:pPr>
  </w:p>
  <w:p w14:paraId="4FE3988C" w14:textId="77777777" w:rsidR="00906441" w:rsidRDefault="00906441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68A38" w14:textId="77777777" w:rsidR="007100A0" w:rsidRDefault="007100A0">
      <w:r>
        <w:separator/>
      </w:r>
    </w:p>
  </w:footnote>
  <w:footnote w:type="continuationSeparator" w:id="0">
    <w:p w14:paraId="6068CB4B" w14:textId="77777777" w:rsidR="007100A0" w:rsidRDefault="00710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2605C" w14:textId="03E98DF0" w:rsidR="009B3580" w:rsidRDefault="009B3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161CE"/>
    <w:multiLevelType w:val="hybridMultilevel"/>
    <w:tmpl w:val="CC542B5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2D1606F"/>
    <w:multiLevelType w:val="hybridMultilevel"/>
    <w:tmpl w:val="B5B20C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37F4D"/>
    <w:multiLevelType w:val="hybridMultilevel"/>
    <w:tmpl w:val="E4D8B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C082B"/>
    <w:multiLevelType w:val="hybridMultilevel"/>
    <w:tmpl w:val="3488B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08064">
    <w:abstractNumId w:val="1"/>
  </w:num>
  <w:num w:numId="2" w16cid:durableId="1795637969">
    <w:abstractNumId w:val="3"/>
  </w:num>
  <w:num w:numId="3" w16cid:durableId="1843662550">
    <w:abstractNumId w:val="2"/>
  </w:num>
  <w:num w:numId="4" w16cid:durableId="4746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4A"/>
    <w:rsid w:val="00004479"/>
    <w:rsid w:val="00006CD9"/>
    <w:rsid w:val="00013E4D"/>
    <w:rsid w:val="00014FDC"/>
    <w:rsid w:val="000156EA"/>
    <w:rsid w:val="00016B2F"/>
    <w:rsid w:val="00020FE0"/>
    <w:rsid w:val="00022F02"/>
    <w:rsid w:val="00023BB1"/>
    <w:rsid w:val="00024014"/>
    <w:rsid w:val="000253FC"/>
    <w:rsid w:val="000272CF"/>
    <w:rsid w:val="00030D79"/>
    <w:rsid w:val="00037147"/>
    <w:rsid w:val="00042C31"/>
    <w:rsid w:val="00043FFB"/>
    <w:rsid w:val="00044C8F"/>
    <w:rsid w:val="00045338"/>
    <w:rsid w:val="0005178C"/>
    <w:rsid w:val="00053BA1"/>
    <w:rsid w:val="00053EF1"/>
    <w:rsid w:val="000560DB"/>
    <w:rsid w:val="0005640D"/>
    <w:rsid w:val="00060D67"/>
    <w:rsid w:val="00060DAD"/>
    <w:rsid w:val="000610A9"/>
    <w:rsid w:val="000645D0"/>
    <w:rsid w:val="00072210"/>
    <w:rsid w:val="00073219"/>
    <w:rsid w:val="00073736"/>
    <w:rsid w:val="00081DDF"/>
    <w:rsid w:val="00086020"/>
    <w:rsid w:val="00087F0E"/>
    <w:rsid w:val="00091952"/>
    <w:rsid w:val="000919A3"/>
    <w:rsid w:val="0009327E"/>
    <w:rsid w:val="000943B4"/>
    <w:rsid w:val="00097A14"/>
    <w:rsid w:val="00097EF0"/>
    <w:rsid w:val="000A0692"/>
    <w:rsid w:val="000A19A9"/>
    <w:rsid w:val="000A288F"/>
    <w:rsid w:val="000A2EEC"/>
    <w:rsid w:val="000A304A"/>
    <w:rsid w:val="000A4140"/>
    <w:rsid w:val="000A5141"/>
    <w:rsid w:val="000A6028"/>
    <w:rsid w:val="000B45DF"/>
    <w:rsid w:val="000B4C50"/>
    <w:rsid w:val="000B6841"/>
    <w:rsid w:val="000B7EE9"/>
    <w:rsid w:val="000C089E"/>
    <w:rsid w:val="000C1716"/>
    <w:rsid w:val="000C32E3"/>
    <w:rsid w:val="000C3551"/>
    <w:rsid w:val="000C4414"/>
    <w:rsid w:val="000C46DD"/>
    <w:rsid w:val="000C5182"/>
    <w:rsid w:val="000C78B0"/>
    <w:rsid w:val="000D0221"/>
    <w:rsid w:val="000D1A19"/>
    <w:rsid w:val="000D5526"/>
    <w:rsid w:val="000D6852"/>
    <w:rsid w:val="000E0C1A"/>
    <w:rsid w:val="000E627D"/>
    <w:rsid w:val="000E73F6"/>
    <w:rsid w:val="000F1883"/>
    <w:rsid w:val="000F4200"/>
    <w:rsid w:val="000F4CB2"/>
    <w:rsid w:val="000F6C41"/>
    <w:rsid w:val="000F7419"/>
    <w:rsid w:val="0010083B"/>
    <w:rsid w:val="001008D8"/>
    <w:rsid w:val="0010540E"/>
    <w:rsid w:val="0010617A"/>
    <w:rsid w:val="0011080E"/>
    <w:rsid w:val="0011320D"/>
    <w:rsid w:val="001136BF"/>
    <w:rsid w:val="0011463E"/>
    <w:rsid w:val="001212DA"/>
    <w:rsid w:val="00123974"/>
    <w:rsid w:val="00123BD8"/>
    <w:rsid w:val="00126C30"/>
    <w:rsid w:val="00140EBE"/>
    <w:rsid w:val="00155FAD"/>
    <w:rsid w:val="00161FBC"/>
    <w:rsid w:val="00162AE5"/>
    <w:rsid w:val="00166390"/>
    <w:rsid w:val="00167FB4"/>
    <w:rsid w:val="00172F97"/>
    <w:rsid w:val="00180F26"/>
    <w:rsid w:val="00181AEF"/>
    <w:rsid w:val="0018352B"/>
    <w:rsid w:val="00183895"/>
    <w:rsid w:val="001840EF"/>
    <w:rsid w:val="00184218"/>
    <w:rsid w:val="00184CB0"/>
    <w:rsid w:val="00185971"/>
    <w:rsid w:val="00185CF2"/>
    <w:rsid w:val="001905D0"/>
    <w:rsid w:val="0019445C"/>
    <w:rsid w:val="0019776D"/>
    <w:rsid w:val="001A04FD"/>
    <w:rsid w:val="001A2517"/>
    <w:rsid w:val="001A2F1B"/>
    <w:rsid w:val="001A37A9"/>
    <w:rsid w:val="001A4D11"/>
    <w:rsid w:val="001A759A"/>
    <w:rsid w:val="001B0697"/>
    <w:rsid w:val="001B1CC6"/>
    <w:rsid w:val="001B3C34"/>
    <w:rsid w:val="001B3F1B"/>
    <w:rsid w:val="001B52C7"/>
    <w:rsid w:val="001B7350"/>
    <w:rsid w:val="001B743C"/>
    <w:rsid w:val="001B7EEF"/>
    <w:rsid w:val="001C1BDE"/>
    <w:rsid w:val="001C3638"/>
    <w:rsid w:val="001C4639"/>
    <w:rsid w:val="001C4B59"/>
    <w:rsid w:val="001C5C1C"/>
    <w:rsid w:val="001D1EE6"/>
    <w:rsid w:val="001D4136"/>
    <w:rsid w:val="001D75EB"/>
    <w:rsid w:val="001E0D2C"/>
    <w:rsid w:val="001E3BEA"/>
    <w:rsid w:val="001E6951"/>
    <w:rsid w:val="001E71A5"/>
    <w:rsid w:val="001F0CF2"/>
    <w:rsid w:val="001F260A"/>
    <w:rsid w:val="001F30AE"/>
    <w:rsid w:val="0020030C"/>
    <w:rsid w:val="00200FD5"/>
    <w:rsid w:val="00201E7D"/>
    <w:rsid w:val="00202559"/>
    <w:rsid w:val="00202FDB"/>
    <w:rsid w:val="00204855"/>
    <w:rsid w:val="00205A1F"/>
    <w:rsid w:val="00206552"/>
    <w:rsid w:val="00207C8D"/>
    <w:rsid w:val="002101EB"/>
    <w:rsid w:val="00213186"/>
    <w:rsid w:val="00217D63"/>
    <w:rsid w:val="0022390E"/>
    <w:rsid w:val="00223CF6"/>
    <w:rsid w:val="00225769"/>
    <w:rsid w:val="00225EC6"/>
    <w:rsid w:val="002260D3"/>
    <w:rsid w:val="00227116"/>
    <w:rsid w:val="00230EF6"/>
    <w:rsid w:val="002356CB"/>
    <w:rsid w:val="00236C11"/>
    <w:rsid w:val="00237995"/>
    <w:rsid w:val="00241DD7"/>
    <w:rsid w:val="002435A1"/>
    <w:rsid w:val="00246066"/>
    <w:rsid w:val="002565BD"/>
    <w:rsid w:val="00260190"/>
    <w:rsid w:val="002601CB"/>
    <w:rsid w:val="00260E62"/>
    <w:rsid w:val="00262011"/>
    <w:rsid w:val="002708F8"/>
    <w:rsid w:val="00270D07"/>
    <w:rsid w:val="00271234"/>
    <w:rsid w:val="00273A59"/>
    <w:rsid w:val="00273D8E"/>
    <w:rsid w:val="00280B08"/>
    <w:rsid w:val="002844A0"/>
    <w:rsid w:val="002941A8"/>
    <w:rsid w:val="002A1307"/>
    <w:rsid w:val="002A2D24"/>
    <w:rsid w:val="002A3590"/>
    <w:rsid w:val="002A7008"/>
    <w:rsid w:val="002A7552"/>
    <w:rsid w:val="002A7838"/>
    <w:rsid w:val="002B1EDF"/>
    <w:rsid w:val="002B3032"/>
    <w:rsid w:val="002B3F31"/>
    <w:rsid w:val="002B5247"/>
    <w:rsid w:val="002B5FB8"/>
    <w:rsid w:val="002C168A"/>
    <w:rsid w:val="002C33F8"/>
    <w:rsid w:val="002C6FDE"/>
    <w:rsid w:val="002C7892"/>
    <w:rsid w:val="002C7E8C"/>
    <w:rsid w:val="002D127D"/>
    <w:rsid w:val="002D3F97"/>
    <w:rsid w:val="002D418B"/>
    <w:rsid w:val="002D7360"/>
    <w:rsid w:val="002D795F"/>
    <w:rsid w:val="002E2B8F"/>
    <w:rsid w:val="002E479E"/>
    <w:rsid w:val="002F2735"/>
    <w:rsid w:val="002F3D84"/>
    <w:rsid w:val="002F5AE8"/>
    <w:rsid w:val="002F69CD"/>
    <w:rsid w:val="00302264"/>
    <w:rsid w:val="00305CD8"/>
    <w:rsid w:val="00305EE8"/>
    <w:rsid w:val="00307C77"/>
    <w:rsid w:val="00311632"/>
    <w:rsid w:val="00312C10"/>
    <w:rsid w:val="00313191"/>
    <w:rsid w:val="0031618F"/>
    <w:rsid w:val="00316318"/>
    <w:rsid w:val="00320888"/>
    <w:rsid w:val="0032201A"/>
    <w:rsid w:val="00323F6C"/>
    <w:rsid w:val="003241AF"/>
    <w:rsid w:val="00325A6F"/>
    <w:rsid w:val="00327D67"/>
    <w:rsid w:val="00333E5C"/>
    <w:rsid w:val="00336459"/>
    <w:rsid w:val="00340C76"/>
    <w:rsid w:val="003412B3"/>
    <w:rsid w:val="0034293F"/>
    <w:rsid w:val="00343394"/>
    <w:rsid w:val="003438E9"/>
    <w:rsid w:val="003454F8"/>
    <w:rsid w:val="0034678E"/>
    <w:rsid w:val="00351714"/>
    <w:rsid w:val="00354212"/>
    <w:rsid w:val="00354A2D"/>
    <w:rsid w:val="00355259"/>
    <w:rsid w:val="00356C12"/>
    <w:rsid w:val="00357937"/>
    <w:rsid w:val="00360226"/>
    <w:rsid w:val="00361374"/>
    <w:rsid w:val="00362F86"/>
    <w:rsid w:val="003636A6"/>
    <w:rsid w:val="00365602"/>
    <w:rsid w:val="003668FA"/>
    <w:rsid w:val="0036732C"/>
    <w:rsid w:val="00370A65"/>
    <w:rsid w:val="00370E6C"/>
    <w:rsid w:val="00371C14"/>
    <w:rsid w:val="0037238A"/>
    <w:rsid w:val="003741B6"/>
    <w:rsid w:val="003744C4"/>
    <w:rsid w:val="00375D2B"/>
    <w:rsid w:val="00385AAE"/>
    <w:rsid w:val="003865FE"/>
    <w:rsid w:val="00386F6E"/>
    <w:rsid w:val="003874C8"/>
    <w:rsid w:val="003877F1"/>
    <w:rsid w:val="00392ACC"/>
    <w:rsid w:val="00395B99"/>
    <w:rsid w:val="00397328"/>
    <w:rsid w:val="003A245D"/>
    <w:rsid w:val="003A2469"/>
    <w:rsid w:val="003A2E0B"/>
    <w:rsid w:val="003A4A4F"/>
    <w:rsid w:val="003A6DC2"/>
    <w:rsid w:val="003B167A"/>
    <w:rsid w:val="003B3333"/>
    <w:rsid w:val="003B3773"/>
    <w:rsid w:val="003B43F8"/>
    <w:rsid w:val="003B6F76"/>
    <w:rsid w:val="003B72B1"/>
    <w:rsid w:val="003C0F8C"/>
    <w:rsid w:val="003C212F"/>
    <w:rsid w:val="003C3284"/>
    <w:rsid w:val="003C3AA5"/>
    <w:rsid w:val="003C55D2"/>
    <w:rsid w:val="003C58EA"/>
    <w:rsid w:val="003D3186"/>
    <w:rsid w:val="003D5953"/>
    <w:rsid w:val="003E11F9"/>
    <w:rsid w:val="003E125D"/>
    <w:rsid w:val="003E1ED9"/>
    <w:rsid w:val="003E2225"/>
    <w:rsid w:val="003E4E77"/>
    <w:rsid w:val="003E5E39"/>
    <w:rsid w:val="003E6986"/>
    <w:rsid w:val="003E6B9F"/>
    <w:rsid w:val="003E76A1"/>
    <w:rsid w:val="003F15A2"/>
    <w:rsid w:val="003F178F"/>
    <w:rsid w:val="003F1A01"/>
    <w:rsid w:val="003F5239"/>
    <w:rsid w:val="003F5E25"/>
    <w:rsid w:val="003F7C8E"/>
    <w:rsid w:val="004003A9"/>
    <w:rsid w:val="004018F6"/>
    <w:rsid w:val="0040192A"/>
    <w:rsid w:val="0040201E"/>
    <w:rsid w:val="00404C9B"/>
    <w:rsid w:val="00406D19"/>
    <w:rsid w:val="004109A7"/>
    <w:rsid w:val="00410CF4"/>
    <w:rsid w:val="00412219"/>
    <w:rsid w:val="00413901"/>
    <w:rsid w:val="00414884"/>
    <w:rsid w:val="004149CD"/>
    <w:rsid w:val="00417695"/>
    <w:rsid w:val="00417B13"/>
    <w:rsid w:val="00417ED3"/>
    <w:rsid w:val="00420E78"/>
    <w:rsid w:val="00421EAD"/>
    <w:rsid w:val="00422D68"/>
    <w:rsid w:val="00425365"/>
    <w:rsid w:val="00426862"/>
    <w:rsid w:val="0042753D"/>
    <w:rsid w:val="004341F8"/>
    <w:rsid w:val="0043455B"/>
    <w:rsid w:val="0043621F"/>
    <w:rsid w:val="004364CA"/>
    <w:rsid w:val="00440742"/>
    <w:rsid w:val="00443B6C"/>
    <w:rsid w:val="00447AB4"/>
    <w:rsid w:val="004510D9"/>
    <w:rsid w:val="00452759"/>
    <w:rsid w:val="004530E8"/>
    <w:rsid w:val="004536B7"/>
    <w:rsid w:val="00453C47"/>
    <w:rsid w:val="0046071D"/>
    <w:rsid w:val="004609DE"/>
    <w:rsid w:val="00460AE7"/>
    <w:rsid w:val="00460DB4"/>
    <w:rsid w:val="00463F9F"/>
    <w:rsid w:val="00464C3A"/>
    <w:rsid w:val="0046584E"/>
    <w:rsid w:val="00466134"/>
    <w:rsid w:val="00467E19"/>
    <w:rsid w:val="00475C50"/>
    <w:rsid w:val="00475D72"/>
    <w:rsid w:val="00477EE1"/>
    <w:rsid w:val="00477FCF"/>
    <w:rsid w:val="004802A5"/>
    <w:rsid w:val="00483018"/>
    <w:rsid w:val="0048339C"/>
    <w:rsid w:val="00484100"/>
    <w:rsid w:val="00487EB2"/>
    <w:rsid w:val="00491524"/>
    <w:rsid w:val="00491B05"/>
    <w:rsid w:val="00493812"/>
    <w:rsid w:val="004946D9"/>
    <w:rsid w:val="00496786"/>
    <w:rsid w:val="00497CD2"/>
    <w:rsid w:val="004A04B2"/>
    <w:rsid w:val="004A36F5"/>
    <w:rsid w:val="004A549E"/>
    <w:rsid w:val="004A59BA"/>
    <w:rsid w:val="004A6888"/>
    <w:rsid w:val="004A7E2D"/>
    <w:rsid w:val="004B2429"/>
    <w:rsid w:val="004B3405"/>
    <w:rsid w:val="004B4658"/>
    <w:rsid w:val="004B5F0E"/>
    <w:rsid w:val="004B6078"/>
    <w:rsid w:val="004B79B4"/>
    <w:rsid w:val="004C1970"/>
    <w:rsid w:val="004C2932"/>
    <w:rsid w:val="004C30E9"/>
    <w:rsid w:val="004C3978"/>
    <w:rsid w:val="004C3FE7"/>
    <w:rsid w:val="004C46C2"/>
    <w:rsid w:val="004C4F2C"/>
    <w:rsid w:val="004C5F17"/>
    <w:rsid w:val="004C6096"/>
    <w:rsid w:val="004D63E0"/>
    <w:rsid w:val="004D72C1"/>
    <w:rsid w:val="004D775E"/>
    <w:rsid w:val="004D7D32"/>
    <w:rsid w:val="004E4C3C"/>
    <w:rsid w:val="004F4D46"/>
    <w:rsid w:val="004F52A9"/>
    <w:rsid w:val="0050556D"/>
    <w:rsid w:val="00511DCA"/>
    <w:rsid w:val="00515300"/>
    <w:rsid w:val="00515766"/>
    <w:rsid w:val="005166FF"/>
    <w:rsid w:val="0051738F"/>
    <w:rsid w:val="00517A55"/>
    <w:rsid w:val="00517B14"/>
    <w:rsid w:val="00523366"/>
    <w:rsid w:val="00523E72"/>
    <w:rsid w:val="005241F2"/>
    <w:rsid w:val="00525D3E"/>
    <w:rsid w:val="005308FB"/>
    <w:rsid w:val="00530DAA"/>
    <w:rsid w:val="00533BA6"/>
    <w:rsid w:val="005368A7"/>
    <w:rsid w:val="00540044"/>
    <w:rsid w:val="0054190C"/>
    <w:rsid w:val="00542108"/>
    <w:rsid w:val="0054334D"/>
    <w:rsid w:val="005437B5"/>
    <w:rsid w:val="00543A80"/>
    <w:rsid w:val="005452D0"/>
    <w:rsid w:val="0054566C"/>
    <w:rsid w:val="00546DCA"/>
    <w:rsid w:val="00552236"/>
    <w:rsid w:val="00553F6C"/>
    <w:rsid w:val="0055431D"/>
    <w:rsid w:val="00561165"/>
    <w:rsid w:val="00561F3F"/>
    <w:rsid w:val="0056262B"/>
    <w:rsid w:val="00564CE7"/>
    <w:rsid w:val="00566D7D"/>
    <w:rsid w:val="00570CC8"/>
    <w:rsid w:val="0057148F"/>
    <w:rsid w:val="005725A0"/>
    <w:rsid w:val="00572D5B"/>
    <w:rsid w:val="00576906"/>
    <w:rsid w:val="00576DA4"/>
    <w:rsid w:val="00577D57"/>
    <w:rsid w:val="00577E86"/>
    <w:rsid w:val="00584A58"/>
    <w:rsid w:val="005863E4"/>
    <w:rsid w:val="00586BA9"/>
    <w:rsid w:val="00591679"/>
    <w:rsid w:val="00593A10"/>
    <w:rsid w:val="0059453C"/>
    <w:rsid w:val="00595CB2"/>
    <w:rsid w:val="0059648B"/>
    <w:rsid w:val="005A1E42"/>
    <w:rsid w:val="005A6B58"/>
    <w:rsid w:val="005B1F16"/>
    <w:rsid w:val="005B408E"/>
    <w:rsid w:val="005B4CDC"/>
    <w:rsid w:val="005B5CFE"/>
    <w:rsid w:val="005B5D88"/>
    <w:rsid w:val="005C059A"/>
    <w:rsid w:val="005C0C4E"/>
    <w:rsid w:val="005C0CDA"/>
    <w:rsid w:val="005C50E8"/>
    <w:rsid w:val="005C55D9"/>
    <w:rsid w:val="005D0843"/>
    <w:rsid w:val="005D30A5"/>
    <w:rsid w:val="005D4522"/>
    <w:rsid w:val="005D6DC9"/>
    <w:rsid w:val="005D7A40"/>
    <w:rsid w:val="005E078D"/>
    <w:rsid w:val="005E107C"/>
    <w:rsid w:val="005E257A"/>
    <w:rsid w:val="005E2B89"/>
    <w:rsid w:val="005E5E13"/>
    <w:rsid w:val="005E62D0"/>
    <w:rsid w:val="005F1D24"/>
    <w:rsid w:val="005F2746"/>
    <w:rsid w:val="005F43AD"/>
    <w:rsid w:val="00600EB5"/>
    <w:rsid w:val="00603090"/>
    <w:rsid w:val="00604B09"/>
    <w:rsid w:val="00604D0C"/>
    <w:rsid w:val="00606096"/>
    <w:rsid w:val="00606E2F"/>
    <w:rsid w:val="00607DA6"/>
    <w:rsid w:val="006105E8"/>
    <w:rsid w:val="0061369F"/>
    <w:rsid w:val="00614A99"/>
    <w:rsid w:val="00615053"/>
    <w:rsid w:val="00617823"/>
    <w:rsid w:val="00623D82"/>
    <w:rsid w:val="00625FD0"/>
    <w:rsid w:val="00627512"/>
    <w:rsid w:val="00627DC6"/>
    <w:rsid w:val="00634B2D"/>
    <w:rsid w:val="0064172A"/>
    <w:rsid w:val="006418EF"/>
    <w:rsid w:val="00652430"/>
    <w:rsid w:val="006542A4"/>
    <w:rsid w:val="00656C46"/>
    <w:rsid w:val="00656E9B"/>
    <w:rsid w:val="006658D1"/>
    <w:rsid w:val="00670134"/>
    <w:rsid w:val="00673366"/>
    <w:rsid w:val="0067447F"/>
    <w:rsid w:val="0067676D"/>
    <w:rsid w:val="00677754"/>
    <w:rsid w:val="00677ED7"/>
    <w:rsid w:val="00680440"/>
    <w:rsid w:val="0068377E"/>
    <w:rsid w:val="0068536A"/>
    <w:rsid w:val="006875A1"/>
    <w:rsid w:val="006901E8"/>
    <w:rsid w:val="0069189F"/>
    <w:rsid w:val="006932B9"/>
    <w:rsid w:val="00694E68"/>
    <w:rsid w:val="0069557D"/>
    <w:rsid w:val="006A14C1"/>
    <w:rsid w:val="006A2DD2"/>
    <w:rsid w:val="006A643A"/>
    <w:rsid w:val="006B29BD"/>
    <w:rsid w:val="006B4B25"/>
    <w:rsid w:val="006B5E1E"/>
    <w:rsid w:val="006B7D31"/>
    <w:rsid w:val="006C10FB"/>
    <w:rsid w:val="006C5A64"/>
    <w:rsid w:val="006D07A5"/>
    <w:rsid w:val="006D0FF7"/>
    <w:rsid w:val="006D2AC6"/>
    <w:rsid w:val="006D3D1E"/>
    <w:rsid w:val="006D6291"/>
    <w:rsid w:val="006D764A"/>
    <w:rsid w:val="006D7AE7"/>
    <w:rsid w:val="006D7D0F"/>
    <w:rsid w:val="006E2EF3"/>
    <w:rsid w:val="006E4337"/>
    <w:rsid w:val="006F37D0"/>
    <w:rsid w:val="006F6F01"/>
    <w:rsid w:val="007019AF"/>
    <w:rsid w:val="00702E48"/>
    <w:rsid w:val="00704411"/>
    <w:rsid w:val="00705639"/>
    <w:rsid w:val="00707483"/>
    <w:rsid w:val="007100A0"/>
    <w:rsid w:val="0071049D"/>
    <w:rsid w:val="00714EDE"/>
    <w:rsid w:val="00715C8C"/>
    <w:rsid w:val="00721A97"/>
    <w:rsid w:val="007220A5"/>
    <w:rsid w:val="007220E9"/>
    <w:rsid w:val="0072347B"/>
    <w:rsid w:val="0072548A"/>
    <w:rsid w:val="0072663E"/>
    <w:rsid w:val="0073051C"/>
    <w:rsid w:val="00730ACE"/>
    <w:rsid w:val="00732507"/>
    <w:rsid w:val="00732E85"/>
    <w:rsid w:val="00733A79"/>
    <w:rsid w:val="00733E6D"/>
    <w:rsid w:val="0073534F"/>
    <w:rsid w:val="007354F4"/>
    <w:rsid w:val="00735EB5"/>
    <w:rsid w:val="0073681A"/>
    <w:rsid w:val="00740E35"/>
    <w:rsid w:val="0074387F"/>
    <w:rsid w:val="00743B69"/>
    <w:rsid w:val="00743D01"/>
    <w:rsid w:val="00744631"/>
    <w:rsid w:val="00746584"/>
    <w:rsid w:val="00750403"/>
    <w:rsid w:val="00750DCB"/>
    <w:rsid w:val="0075195E"/>
    <w:rsid w:val="0075307B"/>
    <w:rsid w:val="00754F15"/>
    <w:rsid w:val="00755416"/>
    <w:rsid w:val="00755A38"/>
    <w:rsid w:val="00755A8E"/>
    <w:rsid w:val="00760974"/>
    <w:rsid w:val="00762068"/>
    <w:rsid w:val="00764C47"/>
    <w:rsid w:val="00765C5A"/>
    <w:rsid w:val="00766A4F"/>
    <w:rsid w:val="00767C8E"/>
    <w:rsid w:val="00770D0D"/>
    <w:rsid w:val="00772419"/>
    <w:rsid w:val="00772E9D"/>
    <w:rsid w:val="007736AF"/>
    <w:rsid w:val="007747DD"/>
    <w:rsid w:val="00776A9E"/>
    <w:rsid w:val="007866E3"/>
    <w:rsid w:val="00786D73"/>
    <w:rsid w:val="007874D4"/>
    <w:rsid w:val="00787BEB"/>
    <w:rsid w:val="00790999"/>
    <w:rsid w:val="00794D78"/>
    <w:rsid w:val="007A0D33"/>
    <w:rsid w:val="007A1638"/>
    <w:rsid w:val="007A39D6"/>
    <w:rsid w:val="007A4FAF"/>
    <w:rsid w:val="007A773E"/>
    <w:rsid w:val="007B1468"/>
    <w:rsid w:val="007B5CE2"/>
    <w:rsid w:val="007C0704"/>
    <w:rsid w:val="007C23D0"/>
    <w:rsid w:val="007C402C"/>
    <w:rsid w:val="007C4A55"/>
    <w:rsid w:val="007C5E83"/>
    <w:rsid w:val="007C6319"/>
    <w:rsid w:val="007C6FC4"/>
    <w:rsid w:val="007C7957"/>
    <w:rsid w:val="007D0449"/>
    <w:rsid w:val="007D4426"/>
    <w:rsid w:val="007D47CB"/>
    <w:rsid w:val="007E1BE8"/>
    <w:rsid w:val="007E46FB"/>
    <w:rsid w:val="007E4B82"/>
    <w:rsid w:val="007E73AB"/>
    <w:rsid w:val="007E7671"/>
    <w:rsid w:val="007F496F"/>
    <w:rsid w:val="007F60C7"/>
    <w:rsid w:val="008116CE"/>
    <w:rsid w:val="0081208F"/>
    <w:rsid w:val="00816456"/>
    <w:rsid w:val="00816DE3"/>
    <w:rsid w:val="00817F3B"/>
    <w:rsid w:val="00822805"/>
    <w:rsid w:val="00824A41"/>
    <w:rsid w:val="008251DB"/>
    <w:rsid w:val="00832015"/>
    <w:rsid w:val="00832116"/>
    <w:rsid w:val="00833DB0"/>
    <w:rsid w:val="0083706E"/>
    <w:rsid w:val="00837AC2"/>
    <w:rsid w:val="00842663"/>
    <w:rsid w:val="00842B69"/>
    <w:rsid w:val="00845FB3"/>
    <w:rsid w:val="00846FA3"/>
    <w:rsid w:val="00853EC0"/>
    <w:rsid w:val="0085530A"/>
    <w:rsid w:val="00855C86"/>
    <w:rsid w:val="0085688E"/>
    <w:rsid w:val="00857B94"/>
    <w:rsid w:val="00861E21"/>
    <w:rsid w:val="00863881"/>
    <w:rsid w:val="00864DCC"/>
    <w:rsid w:val="0086731A"/>
    <w:rsid w:val="008707C0"/>
    <w:rsid w:val="0087300E"/>
    <w:rsid w:val="00873049"/>
    <w:rsid w:val="00876DC9"/>
    <w:rsid w:val="00880444"/>
    <w:rsid w:val="00882D2D"/>
    <w:rsid w:val="00882DEB"/>
    <w:rsid w:val="00883F8E"/>
    <w:rsid w:val="00886459"/>
    <w:rsid w:val="00887C0E"/>
    <w:rsid w:val="00890DD7"/>
    <w:rsid w:val="008917EA"/>
    <w:rsid w:val="00891A69"/>
    <w:rsid w:val="00894070"/>
    <w:rsid w:val="0089540D"/>
    <w:rsid w:val="008960BE"/>
    <w:rsid w:val="00897233"/>
    <w:rsid w:val="00897D99"/>
    <w:rsid w:val="008A37D7"/>
    <w:rsid w:val="008A443F"/>
    <w:rsid w:val="008B0279"/>
    <w:rsid w:val="008B0419"/>
    <w:rsid w:val="008B09DB"/>
    <w:rsid w:val="008B3245"/>
    <w:rsid w:val="008B3AB1"/>
    <w:rsid w:val="008B3C40"/>
    <w:rsid w:val="008B5052"/>
    <w:rsid w:val="008B5AA3"/>
    <w:rsid w:val="008B61C2"/>
    <w:rsid w:val="008C1536"/>
    <w:rsid w:val="008C1573"/>
    <w:rsid w:val="008C1C40"/>
    <w:rsid w:val="008C7A19"/>
    <w:rsid w:val="008D08E2"/>
    <w:rsid w:val="008D1078"/>
    <w:rsid w:val="008D28E5"/>
    <w:rsid w:val="008D295D"/>
    <w:rsid w:val="008D5827"/>
    <w:rsid w:val="008E7AC5"/>
    <w:rsid w:val="008F35EE"/>
    <w:rsid w:val="008F588F"/>
    <w:rsid w:val="008F6268"/>
    <w:rsid w:val="008F78BE"/>
    <w:rsid w:val="00900689"/>
    <w:rsid w:val="00900E3D"/>
    <w:rsid w:val="00900F64"/>
    <w:rsid w:val="00901534"/>
    <w:rsid w:val="00901E89"/>
    <w:rsid w:val="009024E8"/>
    <w:rsid w:val="00905118"/>
    <w:rsid w:val="0090628A"/>
    <w:rsid w:val="00906441"/>
    <w:rsid w:val="009107A6"/>
    <w:rsid w:val="00911070"/>
    <w:rsid w:val="009165DB"/>
    <w:rsid w:val="00922865"/>
    <w:rsid w:val="00926938"/>
    <w:rsid w:val="00927734"/>
    <w:rsid w:val="00933962"/>
    <w:rsid w:val="00935044"/>
    <w:rsid w:val="00937425"/>
    <w:rsid w:val="0093752D"/>
    <w:rsid w:val="00940C14"/>
    <w:rsid w:val="009418D5"/>
    <w:rsid w:val="0094408B"/>
    <w:rsid w:val="009448B4"/>
    <w:rsid w:val="00950178"/>
    <w:rsid w:val="00953005"/>
    <w:rsid w:val="009570A1"/>
    <w:rsid w:val="00957998"/>
    <w:rsid w:val="00960A11"/>
    <w:rsid w:val="00963ACA"/>
    <w:rsid w:val="00963E0D"/>
    <w:rsid w:val="00964666"/>
    <w:rsid w:val="00964669"/>
    <w:rsid w:val="009650DB"/>
    <w:rsid w:val="009654D5"/>
    <w:rsid w:val="0096665E"/>
    <w:rsid w:val="009669EB"/>
    <w:rsid w:val="00967107"/>
    <w:rsid w:val="00967474"/>
    <w:rsid w:val="00971D89"/>
    <w:rsid w:val="00974E62"/>
    <w:rsid w:val="009758E1"/>
    <w:rsid w:val="00976799"/>
    <w:rsid w:val="009819E1"/>
    <w:rsid w:val="00981C4E"/>
    <w:rsid w:val="0098361F"/>
    <w:rsid w:val="0099010E"/>
    <w:rsid w:val="00990DBA"/>
    <w:rsid w:val="009917B1"/>
    <w:rsid w:val="00995899"/>
    <w:rsid w:val="009A0C43"/>
    <w:rsid w:val="009A162A"/>
    <w:rsid w:val="009A4A60"/>
    <w:rsid w:val="009A7F84"/>
    <w:rsid w:val="009B2F6D"/>
    <w:rsid w:val="009B3580"/>
    <w:rsid w:val="009B7371"/>
    <w:rsid w:val="009B73CA"/>
    <w:rsid w:val="009B7A05"/>
    <w:rsid w:val="009C00BC"/>
    <w:rsid w:val="009C19AD"/>
    <w:rsid w:val="009C2C47"/>
    <w:rsid w:val="009C30CA"/>
    <w:rsid w:val="009C3187"/>
    <w:rsid w:val="009C36B9"/>
    <w:rsid w:val="009C59DA"/>
    <w:rsid w:val="009C5DCE"/>
    <w:rsid w:val="009C7177"/>
    <w:rsid w:val="009C7852"/>
    <w:rsid w:val="009C7987"/>
    <w:rsid w:val="009C7A80"/>
    <w:rsid w:val="009C7DDA"/>
    <w:rsid w:val="009D180C"/>
    <w:rsid w:val="009D2C2D"/>
    <w:rsid w:val="009D2DC9"/>
    <w:rsid w:val="009E70BA"/>
    <w:rsid w:val="009F0F83"/>
    <w:rsid w:val="009F3C42"/>
    <w:rsid w:val="009F41D3"/>
    <w:rsid w:val="009F4272"/>
    <w:rsid w:val="009F46C4"/>
    <w:rsid w:val="009F69D7"/>
    <w:rsid w:val="009F7340"/>
    <w:rsid w:val="00A02AF8"/>
    <w:rsid w:val="00A03640"/>
    <w:rsid w:val="00A044CC"/>
    <w:rsid w:val="00A04858"/>
    <w:rsid w:val="00A05FD6"/>
    <w:rsid w:val="00A062EA"/>
    <w:rsid w:val="00A1349C"/>
    <w:rsid w:val="00A1474E"/>
    <w:rsid w:val="00A20EFB"/>
    <w:rsid w:val="00A22E7E"/>
    <w:rsid w:val="00A22ECA"/>
    <w:rsid w:val="00A2614F"/>
    <w:rsid w:val="00A27D73"/>
    <w:rsid w:val="00A27FA6"/>
    <w:rsid w:val="00A32C78"/>
    <w:rsid w:val="00A35D8D"/>
    <w:rsid w:val="00A36154"/>
    <w:rsid w:val="00A366E7"/>
    <w:rsid w:val="00A37AEE"/>
    <w:rsid w:val="00A43B8F"/>
    <w:rsid w:val="00A5234C"/>
    <w:rsid w:val="00A52C7A"/>
    <w:rsid w:val="00A53635"/>
    <w:rsid w:val="00A5673B"/>
    <w:rsid w:val="00A56BA1"/>
    <w:rsid w:val="00A579CF"/>
    <w:rsid w:val="00A57D56"/>
    <w:rsid w:val="00A62070"/>
    <w:rsid w:val="00A62E20"/>
    <w:rsid w:val="00A64B75"/>
    <w:rsid w:val="00A66246"/>
    <w:rsid w:val="00A66C66"/>
    <w:rsid w:val="00A66ED3"/>
    <w:rsid w:val="00A677F1"/>
    <w:rsid w:val="00A706E5"/>
    <w:rsid w:val="00A72BF4"/>
    <w:rsid w:val="00A72FE7"/>
    <w:rsid w:val="00A730BF"/>
    <w:rsid w:val="00A7351E"/>
    <w:rsid w:val="00A74FE3"/>
    <w:rsid w:val="00A750F0"/>
    <w:rsid w:val="00A77BD7"/>
    <w:rsid w:val="00A80EF5"/>
    <w:rsid w:val="00A861AC"/>
    <w:rsid w:val="00A877FF"/>
    <w:rsid w:val="00A9093E"/>
    <w:rsid w:val="00A92784"/>
    <w:rsid w:val="00A928EB"/>
    <w:rsid w:val="00A94D5A"/>
    <w:rsid w:val="00A9634B"/>
    <w:rsid w:val="00A97804"/>
    <w:rsid w:val="00AA196A"/>
    <w:rsid w:val="00AA2357"/>
    <w:rsid w:val="00AA26AD"/>
    <w:rsid w:val="00AA47C4"/>
    <w:rsid w:val="00AA5860"/>
    <w:rsid w:val="00AB0EB1"/>
    <w:rsid w:val="00AB16D7"/>
    <w:rsid w:val="00AB21D5"/>
    <w:rsid w:val="00AB2233"/>
    <w:rsid w:val="00AB4182"/>
    <w:rsid w:val="00AB4507"/>
    <w:rsid w:val="00AC00DC"/>
    <w:rsid w:val="00AC176B"/>
    <w:rsid w:val="00AC27C0"/>
    <w:rsid w:val="00AC6143"/>
    <w:rsid w:val="00AC7C78"/>
    <w:rsid w:val="00AD0012"/>
    <w:rsid w:val="00AD0439"/>
    <w:rsid w:val="00AD0AA4"/>
    <w:rsid w:val="00AD184C"/>
    <w:rsid w:val="00AD25C2"/>
    <w:rsid w:val="00AD44AB"/>
    <w:rsid w:val="00AD5E60"/>
    <w:rsid w:val="00AD6DDA"/>
    <w:rsid w:val="00AE286C"/>
    <w:rsid w:val="00AE2E79"/>
    <w:rsid w:val="00AE301D"/>
    <w:rsid w:val="00AE35D7"/>
    <w:rsid w:val="00AE35DD"/>
    <w:rsid w:val="00AE7552"/>
    <w:rsid w:val="00AF030E"/>
    <w:rsid w:val="00AF0D8C"/>
    <w:rsid w:val="00AF10A7"/>
    <w:rsid w:val="00AF2A8D"/>
    <w:rsid w:val="00B03F5C"/>
    <w:rsid w:val="00B05DAC"/>
    <w:rsid w:val="00B062B8"/>
    <w:rsid w:val="00B06DAC"/>
    <w:rsid w:val="00B102BE"/>
    <w:rsid w:val="00B1198C"/>
    <w:rsid w:val="00B1239A"/>
    <w:rsid w:val="00B123B7"/>
    <w:rsid w:val="00B13B39"/>
    <w:rsid w:val="00B145EC"/>
    <w:rsid w:val="00B14F9D"/>
    <w:rsid w:val="00B16FD3"/>
    <w:rsid w:val="00B17D72"/>
    <w:rsid w:val="00B2022F"/>
    <w:rsid w:val="00B220DD"/>
    <w:rsid w:val="00B24E84"/>
    <w:rsid w:val="00B2526D"/>
    <w:rsid w:val="00B25BFD"/>
    <w:rsid w:val="00B27A2D"/>
    <w:rsid w:val="00B30105"/>
    <w:rsid w:val="00B4079D"/>
    <w:rsid w:val="00B467A3"/>
    <w:rsid w:val="00B4717A"/>
    <w:rsid w:val="00B47E96"/>
    <w:rsid w:val="00B51630"/>
    <w:rsid w:val="00B54512"/>
    <w:rsid w:val="00B54C1B"/>
    <w:rsid w:val="00B60D05"/>
    <w:rsid w:val="00B63033"/>
    <w:rsid w:val="00B67D12"/>
    <w:rsid w:val="00B7047C"/>
    <w:rsid w:val="00B715B1"/>
    <w:rsid w:val="00B719FC"/>
    <w:rsid w:val="00B72189"/>
    <w:rsid w:val="00B734D2"/>
    <w:rsid w:val="00B75045"/>
    <w:rsid w:val="00B76824"/>
    <w:rsid w:val="00B81F61"/>
    <w:rsid w:val="00B8467F"/>
    <w:rsid w:val="00B86328"/>
    <w:rsid w:val="00B872B7"/>
    <w:rsid w:val="00B912A9"/>
    <w:rsid w:val="00B91F02"/>
    <w:rsid w:val="00B922EB"/>
    <w:rsid w:val="00B92411"/>
    <w:rsid w:val="00B929A0"/>
    <w:rsid w:val="00B936D5"/>
    <w:rsid w:val="00B9485C"/>
    <w:rsid w:val="00B971C5"/>
    <w:rsid w:val="00B97BAF"/>
    <w:rsid w:val="00BA0292"/>
    <w:rsid w:val="00BA47D1"/>
    <w:rsid w:val="00BB5546"/>
    <w:rsid w:val="00BB6505"/>
    <w:rsid w:val="00BB69F3"/>
    <w:rsid w:val="00BB6E79"/>
    <w:rsid w:val="00BC4378"/>
    <w:rsid w:val="00BC5A55"/>
    <w:rsid w:val="00BC5AD4"/>
    <w:rsid w:val="00BC5CB6"/>
    <w:rsid w:val="00BD011B"/>
    <w:rsid w:val="00BD21D2"/>
    <w:rsid w:val="00BD3FA3"/>
    <w:rsid w:val="00BD61FB"/>
    <w:rsid w:val="00BD7948"/>
    <w:rsid w:val="00BE0C25"/>
    <w:rsid w:val="00BE1686"/>
    <w:rsid w:val="00BE17C7"/>
    <w:rsid w:val="00BE1DCA"/>
    <w:rsid w:val="00BE3603"/>
    <w:rsid w:val="00BE367A"/>
    <w:rsid w:val="00BE3DFD"/>
    <w:rsid w:val="00BF1453"/>
    <w:rsid w:val="00BF35E2"/>
    <w:rsid w:val="00BF4A91"/>
    <w:rsid w:val="00BF53AB"/>
    <w:rsid w:val="00BF6659"/>
    <w:rsid w:val="00C04CC0"/>
    <w:rsid w:val="00C07C39"/>
    <w:rsid w:val="00C10DFC"/>
    <w:rsid w:val="00C146EA"/>
    <w:rsid w:val="00C163DE"/>
    <w:rsid w:val="00C1766C"/>
    <w:rsid w:val="00C2038D"/>
    <w:rsid w:val="00C21A1B"/>
    <w:rsid w:val="00C240EC"/>
    <w:rsid w:val="00C25ACA"/>
    <w:rsid w:val="00C262F4"/>
    <w:rsid w:val="00C31FB5"/>
    <w:rsid w:val="00C32E24"/>
    <w:rsid w:val="00C33AD7"/>
    <w:rsid w:val="00C4260B"/>
    <w:rsid w:val="00C441B3"/>
    <w:rsid w:val="00C445D6"/>
    <w:rsid w:val="00C44AA2"/>
    <w:rsid w:val="00C45A39"/>
    <w:rsid w:val="00C45DC4"/>
    <w:rsid w:val="00C47343"/>
    <w:rsid w:val="00C517D1"/>
    <w:rsid w:val="00C530F2"/>
    <w:rsid w:val="00C55DD7"/>
    <w:rsid w:val="00C60746"/>
    <w:rsid w:val="00C65155"/>
    <w:rsid w:val="00C6527B"/>
    <w:rsid w:val="00C67EF4"/>
    <w:rsid w:val="00C7004B"/>
    <w:rsid w:val="00C70AE5"/>
    <w:rsid w:val="00C711D6"/>
    <w:rsid w:val="00C72E09"/>
    <w:rsid w:val="00C73EB8"/>
    <w:rsid w:val="00C81DEF"/>
    <w:rsid w:val="00C838F1"/>
    <w:rsid w:val="00C85168"/>
    <w:rsid w:val="00C86D6D"/>
    <w:rsid w:val="00C91AA5"/>
    <w:rsid w:val="00CA120A"/>
    <w:rsid w:val="00CA1439"/>
    <w:rsid w:val="00CA1718"/>
    <w:rsid w:val="00CA3474"/>
    <w:rsid w:val="00CA3CC9"/>
    <w:rsid w:val="00CB1EAE"/>
    <w:rsid w:val="00CB276A"/>
    <w:rsid w:val="00CB3C86"/>
    <w:rsid w:val="00CB77CE"/>
    <w:rsid w:val="00CC0BDF"/>
    <w:rsid w:val="00CC1A3F"/>
    <w:rsid w:val="00CC5822"/>
    <w:rsid w:val="00CD0977"/>
    <w:rsid w:val="00CD0C4F"/>
    <w:rsid w:val="00CD16E2"/>
    <w:rsid w:val="00CD29DD"/>
    <w:rsid w:val="00CD38FC"/>
    <w:rsid w:val="00CD447E"/>
    <w:rsid w:val="00CD7F0E"/>
    <w:rsid w:val="00CD7F6A"/>
    <w:rsid w:val="00CE1C8F"/>
    <w:rsid w:val="00CE635B"/>
    <w:rsid w:val="00CE6CCC"/>
    <w:rsid w:val="00CE6F7B"/>
    <w:rsid w:val="00CE7A50"/>
    <w:rsid w:val="00CF44ED"/>
    <w:rsid w:val="00CF47BD"/>
    <w:rsid w:val="00CF6C39"/>
    <w:rsid w:val="00CF7810"/>
    <w:rsid w:val="00D05C72"/>
    <w:rsid w:val="00D07529"/>
    <w:rsid w:val="00D11214"/>
    <w:rsid w:val="00D12A14"/>
    <w:rsid w:val="00D14D8A"/>
    <w:rsid w:val="00D14E4B"/>
    <w:rsid w:val="00D151BD"/>
    <w:rsid w:val="00D15299"/>
    <w:rsid w:val="00D202E1"/>
    <w:rsid w:val="00D25276"/>
    <w:rsid w:val="00D25705"/>
    <w:rsid w:val="00D25CD4"/>
    <w:rsid w:val="00D267A8"/>
    <w:rsid w:val="00D279C2"/>
    <w:rsid w:val="00D30CF4"/>
    <w:rsid w:val="00D3267F"/>
    <w:rsid w:val="00D33094"/>
    <w:rsid w:val="00D335BE"/>
    <w:rsid w:val="00D34C6C"/>
    <w:rsid w:val="00D356CE"/>
    <w:rsid w:val="00D3721C"/>
    <w:rsid w:val="00D411D3"/>
    <w:rsid w:val="00D41738"/>
    <w:rsid w:val="00D4183C"/>
    <w:rsid w:val="00D42593"/>
    <w:rsid w:val="00D427C5"/>
    <w:rsid w:val="00D42930"/>
    <w:rsid w:val="00D438B8"/>
    <w:rsid w:val="00D44B09"/>
    <w:rsid w:val="00D44B3E"/>
    <w:rsid w:val="00D55B19"/>
    <w:rsid w:val="00D56A65"/>
    <w:rsid w:val="00D64797"/>
    <w:rsid w:val="00D64C28"/>
    <w:rsid w:val="00D675ED"/>
    <w:rsid w:val="00D7720D"/>
    <w:rsid w:val="00D86734"/>
    <w:rsid w:val="00D8775A"/>
    <w:rsid w:val="00D929F5"/>
    <w:rsid w:val="00D9334B"/>
    <w:rsid w:val="00D94BCD"/>
    <w:rsid w:val="00D9521D"/>
    <w:rsid w:val="00D97783"/>
    <w:rsid w:val="00DA2653"/>
    <w:rsid w:val="00DA70DD"/>
    <w:rsid w:val="00DB215C"/>
    <w:rsid w:val="00DB27E9"/>
    <w:rsid w:val="00DB348A"/>
    <w:rsid w:val="00DB6917"/>
    <w:rsid w:val="00DB692B"/>
    <w:rsid w:val="00DC702B"/>
    <w:rsid w:val="00DD10A3"/>
    <w:rsid w:val="00DD1ECD"/>
    <w:rsid w:val="00DD587D"/>
    <w:rsid w:val="00DD5DF1"/>
    <w:rsid w:val="00DD6DE2"/>
    <w:rsid w:val="00DD751A"/>
    <w:rsid w:val="00DF23F9"/>
    <w:rsid w:val="00DF5A7B"/>
    <w:rsid w:val="00DF73B9"/>
    <w:rsid w:val="00DF7EC1"/>
    <w:rsid w:val="00E00C8E"/>
    <w:rsid w:val="00E01EFB"/>
    <w:rsid w:val="00E04CC5"/>
    <w:rsid w:val="00E04D61"/>
    <w:rsid w:val="00E0693A"/>
    <w:rsid w:val="00E07095"/>
    <w:rsid w:val="00E10A4A"/>
    <w:rsid w:val="00E10ED7"/>
    <w:rsid w:val="00E1325F"/>
    <w:rsid w:val="00E14850"/>
    <w:rsid w:val="00E148C8"/>
    <w:rsid w:val="00E14FE3"/>
    <w:rsid w:val="00E1556A"/>
    <w:rsid w:val="00E16153"/>
    <w:rsid w:val="00E22552"/>
    <w:rsid w:val="00E2384A"/>
    <w:rsid w:val="00E23A6E"/>
    <w:rsid w:val="00E24D03"/>
    <w:rsid w:val="00E2687F"/>
    <w:rsid w:val="00E2700F"/>
    <w:rsid w:val="00E272EE"/>
    <w:rsid w:val="00E322D7"/>
    <w:rsid w:val="00E32F8E"/>
    <w:rsid w:val="00E402AE"/>
    <w:rsid w:val="00E42FB4"/>
    <w:rsid w:val="00E44983"/>
    <w:rsid w:val="00E449B2"/>
    <w:rsid w:val="00E4544F"/>
    <w:rsid w:val="00E475E8"/>
    <w:rsid w:val="00E50889"/>
    <w:rsid w:val="00E52434"/>
    <w:rsid w:val="00E53478"/>
    <w:rsid w:val="00E5730E"/>
    <w:rsid w:val="00E62ADF"/>
    <w:rsid w:val="00E72767"/>
    <w:rsid w:val="00E73AEB"/>
    <w:rsid w:val="00E76823"/>
    <w:rsid w:val="00E7690A"/>
    <w:rsid w:val="00E8066A"/>
    <w:rsid w:val="00E84738"/>
    <w:rsid w:val="00E93810"/>
    <w:rsid w:val="00E93C4A"/>
    <w:rsid w:val="00E941D2"/>
    <w:rsid w:val="00E96DEE"/>
    <w:rsid w:val="00EA1B92"/>
    <w:rsid w:val="00EA22C1"/>
    <w:rsid w:val="00EA3555"/>
    <w:rsid w:val="00EA3F8B"/>
    <w:rsid w:val="00EB0684"/>
    <w:rsid w:val="00EB0757"/>
    <w:rsid w:val="00EB527F"/>
    <w:rsid w:val="00EC4013"/>
    <w:rsid w:val="00ED7E68"/>
    <w:rsid w:val="00EE0390"/>
    <w:rsid w:val="00EE0432"/>
    <w:rsid w:val="00EE1EB3"/>
    <w:rsid w:val="00EE3F15"/>
    <w:rsid w:val="00EE7D42"/>
    <w:rsid w:val="00EF1D6A"/>
    <w:rsid w:val="00EF39AA"/>
    <w:rsid w:val="00EF4E9E"/>
    <w:rsid w:val="00EF67C2"/>
    <w:rsid w:val="00EF6F6E"/>
    <w:rsid w:val="00F02D42"/>
    <w:rsid w:val="00F07246"/>
    <w:rsid w:val="00F07FD7"/>
    <w:rsid w:val="00F118A1"/>
    <w:rsid w:val="00F13C77"/>
    <w:rsid w:val="00F15BC0"/>
    <w:rsid w:val="00F17B3F"/>
    <w:rsid w:val="00F213FA"/>
    <w:rsid w:val="00F2150C"/>
    <w:rsid w:val="00F25B96"/>
    <w:rsid w:val="00F26854"/>
    <w:rsid w:val="00F27A63"/>
    <w:rsid w:val="00F3065E"/>
    <w:rsid w:val="00F30EE6"/>
    <w:rsid w:val="00F329BA"/>
    <w:rsid w:val="00F340A7"/>
    <w:rsid w:val="00F35597"/>
    <w:rsid w:val="00F36B9D"/>
    <w:rsid w:val="00F403D6"/>
    <w:rsid w:val="00F40D99"/>
    <w:rsid w:val="00F41331"/>
    <w:rsid w:val="00F41B1A"/>
    <w:rsid w:val="00F41D9C"/>
    <w:rsid w:val="00F42066"/>
    <w:rsid w:val="00F425A6"/>
    <w:rsid w:val="00F434BF"/>
    <w:rsid w:val="00F43CAC"/>
    <w:rsid w:val="00F5007A"/>
    <w:rsid w:val="00F55107"/>
    <w:rsid w:val="00F57FE6"/>
    <w:rsid w:val="00F63062"/>
    <w:rsid w:val="00F64871"/>
    <w:rsid w:val="00F67B7B"/>
    <w:rsid w:val="00F7061F"/>
    <w:rsid w:val="00F7391F"/>
    <w:rsid w:val="00F73B86"/>
    <w:rsid w:val="00F7729A"/>
    <w:rsid w:val="00F82562"/>
    <w:rsid w:val="00F83148"/>
    <w:rsid w:val="00F84016"/>
    <w:rsid w:val="00F86045"/>
    <w:rsid w:val="00F90B73"/>
    <w:rsid w:val="00F957D8"/>
    <w:rsid w:val="00F970AF"/>
    <w:rsid w:val="00FA08E2"/>
    <w:rsid w:val="00FA14CD"/>
    <w:rsid w:val="00FA2989"/>
    <w:rsid w:val="00FA3CA5"/>
    <w:rsid w:val="00FA3E5C"/>
    <w:rsid w:val="00FA4464"/>
    <w:rsid w:val="00FA6D41"/>
    <w:rsid w:val="00FA7855"/>
    <w:rsid w:val="00FB338D"/>
    <w:rsid w:val="00FB5FA1"/>
    <w:rsid w:val="00FB6324"/>
    <w:rsid w:val="00FC18B0"/>
    <w:rsid w:val="00FC32B6"/>
    <w:rsid w:val="00FC594A"/>
    <w:rsid w:val="00FC65BD"/>
    <w:rsid w:val="00FD09D1"/>
    <w:rsid w:val="00FD0DE8"/>
    <w:rsid w:val="00FD0F8A"/>
    <w:rsid w:val="00FD1587"/>
    <w:rsid w:val="00FD2E4F"/>
    <w:rsid w:val="00FD317F"/>
    <w:rsid w:val="00FD50EF"/>
    <w:rsid w:val="00FD6835"/>
    <w:rsid w:val="00FD759D"/>
    <w:rsid w:val="00FD7746"/>
    <w:rsid w:val="00FD774B"/>
    <w:rsid w:val="00FD7781"/>
    <w:rsid w:val="00FE127D"/>
    <w:rsid w:val="00FE3F5E"/>
    <w:rsid w:val="00FE4DB1"/>
    <w:rsid w:val="00FE59FF"/>
    <w:rsid w:val="00FE74B3"/>
    <w:rsid w:val="00FF0430"/>
    <w:rsid w:val="00FF1DE2"/>
    <w:rsid w:val="00FF2B68"/>
    <w:rsid w:val="00FF56C4"/>
    <w:rsid w:val="00FF5864"/>
    <w:rsid w:val="00FF5D14"/>
    <w:rsid w:val="00FF6A75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962623"/>
  <w15:docId w15:val="{6B9061B6-3CCD-499A-9332-15066DC8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jc w:val="both"/>
      <w:outlineLvl w:val="0"/>
    </w:pPr>
    <w:rPr>
      <w:i/>
      <w:sz w:val="22"/>
      <w:u w:val="single"/>
      <w:lang w:val="el-GR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851" w:right="340"/>
      <w:jc w:val="both"/>
      <w:outlineLvl w:val="5"/>
    </w:pPr>
    <w:rPr>
      <w:i/>
      <w:sz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lang w:val="en-GB"/>
    </w:rPr>
  </w:style>
  <w:style w:type="paragraph" w:styleId="CommentText">
    <w:name w:val="annotation text"/>
    <w:basedOn w:val="Normal"/>
    <w:rPr>
      <w:sz w:val="20"/>
    </w:rPr>
  </w:style>
  <w:style w:type="paragraph" w:styleId="DocumentMap">
    <w:name w:val="Document Map"/>
    <w:basedOn w:val="Normal"/>
    <w:pPr>
      <w:shd w:val="clear" w:color="000000" w:fill="00007F"/>
    </w:pPr>
    <w:rPr>
      <w:rFonts w:ascii="Tahoma" w:hAnsi="Tahoma" w:cs="Tahoma"/>
      <w:sz w:val="20"/>
    </w:rPr>
  </w:style>
  <w:style w:type="paragraph" w:styleId="FootnoteText">
    <w:name w:val="footnote text"/>
    <w:basedOn w:val="Normal"/>
    <w:rPr>
      <w:rFonts w:ascii="Times New Roman" w:hAnsi="Times New Roman" w:cs="Times New Roman"/>
      <w:sz w:val="20"/>
      <w:lang w:eastAsia="en-US"/>
    </w:rPr>
  </w:style>
  <w:style w:type="paragraph" w:styleId="BodyText">
    <w:name w:val="Body Text"/>
    <w:basedOn w:val="Normal"/>
    <w:pPr>
      <w:jc w:val="both"/>
    </w:pPr>
    <w:rPr>
      <w:rFonts w:ascii="Times New Roman" w:hAnsi="Times New Roman" w:cs="Times New Roman"/>
      <w:lang w:val="el-GR"/>
    </w:rPr>
  </w:style>
  <w:style w:type="paragraph" w:styleId="CommentSubject">
    <w:name w:val="annotation subject"/>
    <w:basedOn w:val="CommentText"/>
    <w:next w:val="CommentText"/>
    <w:rPr>
      <w:b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 w:cs="Times New Roman"/>
      <w:szCs w:val="24"/>
      <w:lang w:val="el-GR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evision1">
    <w:name w:val="Revision1"/>
    <w:rPr>
      <w:rFonts w:ascii="Arial" w:hAnsi="Arial" w:cs="Arial"/>
      <w:color w:val="000000"/>
      <w:sz w:val="24"/>
      <w:lang w:val="en-AU"/>
    </w:rPr>
  </w:style>
  <w:style w:type="paragraph" w:styleId="EndnoteText">
    <w:name w:val="endnote text"/>
    <w:basedOn w:val="Normal"/>
    <w:rPr>
      <w:sz w:val="20"/>
    </w:rPr>
  </w:style>
  <w:style w:type="character" w:styleId="PageNumber">
    <w:name w:val="page number"/>
    <w:basedOn w:val="DefaultParagraphFont"/>
  </w:style>
  <w:style w:type="character" w:styleId="Emphasis">
    <w:name w:val="Emphasis"/>
    <w:qFormat/>
    <w:rPr>
      <w:i/>
      <w:iCs w:val="0"/>
    </w:rPr>
  </w:style>
  <w:style w:type="character" w:customStyle="1" w:styleId="CommentSubjectChar">
    <w:name w:val="Comment Subject Char"/>
    <w:rPr>
      <w:rFonts w:ascii="Arial" w:hAnsi="Arial"/>
      <w:b/>
      <w:bCs w:val="0"/>
      <w:lang w:val="en-AU"/>
    </w:rPr>
  </w:style>
  <w:style w:type="character" w:customStyle="1" w:styleId="bog-bodytext1">
    <w:name w:val="bog-bodytext1"/>
    <w:rPr>
      <w:rFonts w:ascii="Tahoma" w:hAnsi="Tahoma" w:cs="Tahoma"/>
      <w:color w:val="000000"/>
      <w:sz w:val="18"/>
      <w:szCs w:val="18"/>
    </w:rPr>
  </w:style>
  <w:style w:type="character" w:customStyle="1" w:styleId="HeaderChar">
    <w:name w:val="Header Char"/>
    <w:rPr>
      <w:rFonts w:ascii="Arial" w:hAnsi="Arial"/>
      <w:sz w:val="24"/>
      <w:lang w:val="en-AU"/>
    </w:rPr>
  </w:style>
  <w:style w:type="character" w:customStyle="1" w:styleId="BodyTextChar">
    <w:name w:val="Body Text Char"/>
    <w:rPr>
      <w:sz w:val="24"/>
      <w:lang w:val="el-GR" w:eastAsia="el-GR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FootnoteTextChar">
    <w:name w:val="Footnote Text Char"/>
    <w:rPr>
      <w:lang w:eastAsia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AU"/>
    </w:rPr>
  </w:style>
  <w:style w:type="character" w:customStyle="1" w:styleId="bog-bodytext">
    <w:name w:val="bog-bodytext"/>
    <w:basedOn w:val="DefaultParagraphFont"/>
  </w:style>
  <w:style w:type="character" w:styleId="FootnoteReference">
    <w:name w:val="footnote reference"/>
    <w:rPr>
      <w:position w:val="-2"/>
      <w:vertAlign w:val="superscript"/>
    </w:rPr>
  </w:style>
  <w:style w:type="character" w:customStyle="1" w:styleId="CommentTextChar">
    <w:name w:val="Comment Text Char"/>
    <w:rPr>
      <w:rFonts w:ascii="Arial" w:hAnsi="Arial"/>
      <w:lang w:val="en-AU"/>
    </w:rPr>
  </w:style>
  <w:style w:type="character" w:customStyle="1" w:styleId="apple-converted-space">
    <w:name w:val="apple-converted-space"/>
    <w:basedOn w:val="DefaultParagraphFont"/>
  </w:style>
  <w:style w:type="character" w:customStyle="1" w:styleId="EndnoteTextChar">
    <w:name w:val="Endnote Text Char"/>
    <w:rPr>
      <w:rFonts w:ascii="Arial" w:hAnsi="Arial"/>
      <w:lang w:val="en-AU" w:eastAsia="el-GR"/>
    </w:rPr>
  </w:style>
  <w:style w:type="character" w:styleId="EndnoteReference">
    <w:name w:val="endnote reference"/>
    <w:rPr>
      <w:position w:val="-2"/>
      <w:vertAlign w:val="superscript"/>
    </w:rPr>
  </w:style>
  <w:style w:type="table" w:styleId="TableGrid">
    <w:name w:val="Table Grid"/>
    <w:basedOn w:val="TableNormal"/>
    <w:uiPriority w:val="59"/>
    <w:rsid w:val="00C71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711D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66A4F"/>
    <w:rPr>
      <w:color w:val="00000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55A8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E286C"/>
    <w:rPr>
      <w:rFonts w:ascii="Arial" w:hAnsi="Arial" w:cs="Arial"/>
      <w:color w:val="000000"/>
      <w:sz w:val="24"/>
      <w:lang w:val="en-AU"/>
    </w:rPr>
  </w:style>
  <w:style w:type="paragraph" w:styleId="ListParagraph">
    <w:name w:val="List Paragraph"/>
    <w:basedOn w:val="Normal"/>
    <w:uiPriority w:val="34"/>
    <w:qFormat/>
    <w:rsid w:val="00524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ankofgreece.gr/statistika/nomismatikh-kai-trapezikh-statistiki/erevna-trapezikwn-chorhghsew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ankofgreece.gr/statistika/nomismatikh-kai-trapezikh-statistiki/erevna-trapezikwn-chorhghsew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bankofgreece.gr/RelatedDocuments/%ce%9c%ce%b5%ce%b8%ce%bf%ce%b4%ce%bf%ce%bb%ce%bf%ce%b3%ce%af%ce%b1_%ce%88%cf%81%ce%b5%cf%85%ce%bd%ce%b1%cf%82_BankLendingSurvey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kofgreece.gr" TargetMode="External"/><Relationship Id="rId1" Type="http://schemas.openxmlformats.org/officeDocument/2006/relationships/hyperlink" Target="mailto:press@bankofgreec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5C87-FEC3-4A53-90CE-42D96B875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706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serv.press@bankofgreece.gr</Manager>
  <Company>Bank of Greece</Company>
  <LinksUpToDate>false</LinksUpToDate>
  <CharactersWithSpaces>4514</CharactersWithSpaces>
  <SharedDoc>false</SharedDoc>
  <HLinks>
    <vt:vector size="18" baseType="variant">
      <vt:variant>
        <vt:i4>7667753</vt:i4>
      </vt:variant>
      <vt:variant>
        <vt:i4>0</vt:i4>
      </vt:variant>
      <vt:variant>
        <vt:i4>0</vt:i4>
      </vt:variant>
      <vt:variant>
        <vt:i4>5</vt:i4>
      </vt:variant>
      <vt:variant>
        <vt:lpwstr>http://www.bankofgreece.gr/</vt:lpwstr>
      </vt:variant>
      <vt:variant>
        <vt:lpwstr/>
      </vt:variant>
      <vt:variant>
        <vt:i4>7667753</vt:i4>
      </vt:variant>
      <vt:variant>
        <vt:i4>3</vt:i4>
      </vt:variant>
      <vt:variant>
        <vt:i4>0</vt:i4>
      </vt:variant>
      <vt:variant>
        <vt:i4>5</vt:i4>
      </vt:variant>
      <vt:variant>
        <vt:lpwstr>http://www.bankofgreece.gr/</vt:lpwstr>
      </vt:variant>
      <vt:variant>
        <vt:lpwstr/>
      </vt:variant>
      <vt:variant>
        <vt:i4>5898354</vt:i4>
      </vt:variant>
      <vt:variant>
        <vt:i4>0</vt:i4>
      </vt:variant>
      <vt:variant>
        <vt:i4>0</vt:i4>
      </vt:variant>
      <vt:variant>
        <vt:i4>5</vt:i4>
      </vt:variant>
      <vt:variant>
        <vt:lpwstr>mailto:press@bankofgreece.gr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 Section</dc:creator>
  <cp:lastModifiedBy>MARMAROU, Ioanna</cp:lastModifiedBy>
  <cp:revision>4</cp:revision>
  <cp:lastPrinted>2024-10-04T11:46:00Z</cp:lastPrinted>
  <dcterms:created xsi:type="dcterms:W3CDTF">2025-07-22T08:43:00Z</dcterms:created>
  <dcterms:modified xsi:type="dcterms:W3CDTF">2025-07-22T10:27:00Z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64f240-1db5-4acf-9bde-572066689a31_Enabled">
    <vt:lpwstr>true</vt:lpwstr>
  </property>
  <property fmtid="{D5CDD505-2E9C-101B-9397-08002B2CF9AE}" pid="3" name="MSIP_Label_2e64f240-1db5-4acf-9bde-572066689a31_SetDate">
    <vt:lpwstr>2025-07-22T10:26:09Z</vt:lpwstr>
  </property>
  <property fmtid="{D5CDD505-2E9C-101B-9397-08002B2CF9AE}" pid="4" name="MSIP_Label_2e64f240-1db5-4acf-9bde-572066689a31_Method">
    <vt:lpwstr>Privileged</vt:lpwstr>
  </property>
  <property fmtid="{D5CDD505-2E9C-101B-9397-08002B2CF9AE}" pid="5" name="MSIP_Label_2e64f240-1db5-4acf-9bde-572066689a31_Name">
    <vt:lpwstr>ΧΩΡΙΣ ΧΑΡΑΚΤΗΡΙΣΜΟ ΑΣΦΑΛΕΙΑΣ</vt:lpwstr>
  </property>
  <property fmtid="{D5CDD505-2E9C-101B-9397-08002B2CF9AE}" pid="6" name="MSIP_Label_2e64f240-1db5-4acf-9bde-572066689a31_SiteId">
    <vt:lpwstr>dabae695-3d3b-4e5d-ab49-009605ba5c68</vt:lpwstr>
  </property>
  <property fmtid="{D5CDD505-2E9C-101B-9397-08002B2CF9AE}" pid="7" name="MSIP_Label_2e64f240-1db5-4acf-9bde-572066689a31_ActionId">
    <vt:lpwstr>c5ce3ed5-9eb6-49f3-9e4b-35ae6e1382a5</vt:lpwstr>
  </property>
  <property fmtid="{D5CDD505-2E9C-101B-9397-08002B2CF9AE}" pid="8" name="MSIP_Label_2e64f240-1db5-4acf-9bde-572066689a31_ContentBits">
    <vt:lpwstr>0</vt:lpwstr>
  </property>
  <property fmtid="{D5CDD505-2E9C-101B-9397-08002B2CF9AE}" pid="9" name="MSIP_Label_2e64f240-1db5-4acf-9bde-572066689a31_Tag">
    <vt:lpwstr>10, 0, 1, 1</vt:lpwstr>
  </property>
</Properties>
</file>